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6442" w14:textId="5C370DC7" w:rsidR="00EE03BE" w:rsidRDefault="00AD2EB9" w:rsidP="00C24639">
      <w:pPr>
        <w:spacing w:after="0" w:line="240" w:lineRule="auto"/>
        <w:jc w:val="center"/>
        <w:rPr>
          <w:rFonts w:ascii="Verdana" w:hAnsi="Verdana"/>
        </w:rPr>
      </w:pPr>
      <w:bookmarkStart w:id="0" w:name="_GoBack"/>
      <w:bookmarkEnd w:id="0"/>
      <w:r>
        <w:rPr>
          <w:rFonts w:ascii="Verdana" w:hAnsi="Verdana" w:cs="Arial"/>
          <w:b/>
          <w:noProof/>
          <w:lang w:eastAsia="en-GB"/>
        </w:rPr>
        <w:drawing>
          <wp:inline distT="0" distB="0" distL="0" distR="0" wp14:anchorId="509C75B0" wp14:editId="5556F4A1">
            <wp:extent cx="2820670" cy="2155190"/>
            <wp:effectExtent l="0" t="0" r="0" b="0"/>
            <wp:docPr id="2" name="Picture 2"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670" cy="2155190"/>
                    </a:xfrm>
                    <a:prstGeom prst="rect">
                      <a:avLst/>
                    </a:prstGeom>
                    <a:noFill/>
                    <a:ln>
                      <a:noFill/>
                    </a:ln>
                  </pic:spPr>
                </pic:pic>
              </a:graphicData>
            </a:graphic>
          </wp:inline>
        </w:drawing>
      </w:r>
    </w:p>
    <w:p w14:paraId="471863DC" w14:textId="77777777" w:rsidR="00C24639" w:rsidRPr="001D7A2B" w:rsidRDefault="00C24639" w:rsidP="00C24639">
      <w:pPr>
        <w:spacing w:after="0" w:line="240" w:lineRule="auto"/>
        <w:jc w:val="center"/>
        <w:rPr>
          <w:rFonts w:ascii="Verdana" w:hAnsi="Verdana"/>
          <w:sz w:val="48"/>
          <w:szCs w:val="48"/>
        </w:rPr>
      </w:pPr>
    </w:p>
    <w:p w14:paraId="60061E4C" w14:textId="280F2D1C" w:rsidR="005C553B" w:rsidRDefault="00F41DDD" w:rsidP="007812EE">
      <w:pPr>
        <w:pStyle w:val="Title"/>
        <w:jc w:val="center"/>
        <w:rPr>
          <w:rFonts w:ascii="Verdana" w:eastAsia="Times New Roman" w:hAnsi="Verdana" w:cs="Times New Roman"/>
          <w:lang w:eastAsia="en-GB"/>
        </w:rPr>
      </w:pPr>
      <w:r w:rsidRPr="006C2EB1">
        <w:rPr>
          <w:rFonts w:ascii="Verdana" w:eastAsia="Times New Roman" w:hAnsi="Verdana"/>
          <w:sz w:val="48"/>
          <w:szCs w:val="48"/>
          <w:lang w:eastAsia="en-GB"/>
        </w:rPr>
        <w:t>W</w:t>
      </w:r>
      <w:r w:rsidR="00416F53" w:rsidRPr="006C2EB1">
        <w:rPr>
          <w:rFonts w:ascii="Verdana" w:eastAsia="Times New Roman" w:hAnsi="Verdana"/>
          <w:sz w:val="48"/>
          <w:szCs w:val="48"/>
          <w:lang w:eastAsia="en-GB"/>
        </w:rPr>
        <w:t xml:space="preserve">ork </w:t>
      </w:r>
      <w:r w:rsidRPr="006C2EB1">
        <w:rPr>
          <w:rFonts w:ascii="Verdana" w:eastAsia="Times New Roman" w:hAnsi="Verdana"/>
          <w:sz w:val="48"/>
          <w:szCs w:val="48"/>
          <w:lang w:eastAsia="en-GB"/>
        </w:rPr>
        <w:t>B</w:t>
      </w:r>
      <w:r w:rsidR="00416F53" w:rsidRPr="006C2EB1">
        <w:rPr>
          <w:rFonts w:ascii="Verdana" w:eastAsia="Times New Roman" w:hAnsi="Verdana"/>
          <w:sz w:val="48"/>
          <w:szCs w:val="48"/>
          <w:lang w:eastAsia="en-GB"/>
        </w:rPr>
        <w:t xml:space="preserve">ased </w:t>
      </w:r>
      <w:r w:rsidRPr="006C2EB1">
        <w:rPr>
          <w:rFonts w:ascii="Verdana" w:eastAsia="Times New Roman" w:hAnsi="Verdana"/>
          <w:sz w:val="48"/>
          <w:szCs w:val="48"/>
          <w:lang w:eastAsia="en-GB"/>
        </w:rPr>
        <w:t>L</w:t>
      </w:r>
      <w:r w:rsidR="00416F53" w:rsidRPr="006C2EB1">
        <w:rPr>
          <w:rFonts w:ascii="Verdana" w:eastAsia="Times New Roman" w:hAnsi="Verdana"/>
          <w:sz w:val="48"/>
          <w:szCs w:val="48"/>
          <w:lang w:eastAsia="en-GB"/>
        </w:rPr>
        <w:t>earning</w:t>
      </w:r>
      <w:r w:rsidRPr="006C2EB1">
        <w:rPr>
          <w:rFonts w:ascii="Verdana" w:eastAsia="Times New Roman" w:hAnsi="Verdana"/>
          <w:sz w:val="48"/>
          <w:szCs w:val="48"/>
          <w:lang w:eastAsia="en-GB"/>
        </w:rPr>
        <w:t xml:space="preserve"> </w:t>
      </w:r>
      <w:r w:rsidR="005C553B" w:rsidRPr="006C2EB1">
        <w:rPr>
          <w:rFonts w:ascii="Verdana" w:eastAsia="Times New Roman" w:hAnsi="Verdana"/>
          <w:sz w:val="48"/>
          <w:szCs w:val="48"/>
          <w:lang w:eastAsia="en-GB"/>
        </w:rPr>
        <w:t>Sub-Contracting Fees and Charges Policy</w:t>
      </w:r>
    </w:p>
    <w:p w14:paraId="30C32770" w14:textId="77777777" w:rsidR="007812EE" w:rsidRPr="005C553B" w:rsidRDefault="007812EE" w:rsidP="005C553B">
      <w:pPr>
        <w:spacing w:after="0" w:line="240" w:lineRule="auto"/>
        <w:rPr>
          <w:rFonts w:ascii="Verdana" w:eastAsia="Times New Roman" w:hAnsi="Verdana" w:cs="Times New Roman"/>
          <w:lang w:eastAsia="en-GB"/>
        </w:rPr>
      </w:pPr>
    </w:p>
    <w:p w14:paraId="44EAFD9C" w14:textId="77777777" w:rsidR="005C553B" w:rsidRPr="00C24639" w:rsidRDefault="005C553B" w:rsidP="005C553B">
      <w:pPr>
        <w:spacing w:after="0" w:line="240" w:lineRule="auto"/>
        <w:rPr>
          <w:rFonts w:ascii="Verdana" w:eastAsia="Times New Roman" w:hAnsi="Verdana" w:cs="Times New Roman"/>
          <w:sz w:val="24"/>
          <w:szCs w:val="24"/>
          <w:lang w:eastAsia="en-GB"/>
        </w:rPr>
      </w:pPr>
    </w:p>
    <w:p w14:paraId="5897BACF" w14:textId="1B5239C4" w:rsidR="006C2EB1" w:rsidRPr="006E61CE" w:rsidRDefault="006C2EB1" w:rsidP="00C24639">
      <w:pPr>
        <w:pStyle w:val="ListParagraph"/>
        <w:spacing w:after="0" w:line="240" w:lineRule="auto"/>
        <w:ind w:left="1080" w:firstLine="360"/>
        <w:rPr>
          <w:rFonts w:ascii="Verdana" w:eastAsia="Times New Roman" w:hAnsi="Verdana" w:cs="Times New Roman"/>
          <w:bCs/>
          <w:sz w:val="24"/>
          <w:szCs w:val="24"/>
          <w:lang w:eastAsia="en-GB"/>
        </w:rPr>
      </w:pPr>
      <w:r w:rsidRPr="00C24639">
        <w:rPr>
          <w:rFonts w:ascii="Verdana" w:eastAsia="Times New Roman" w:hAnsi="Verdana" w:cs="Times New Roman"/>
          <w:sz w:val="24"/>
          <w:szCs w:val="24"/>
          <w:lang w:eastAsia="en-GB"/>
        </w:rPr>
        <w:t>Issue</w:t>
      </w:r>
      <w:r w:rsidRP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ab/>
      </w:r>
      <w:r w:rsidR="007812EE" w:rsidRPr="00C24639">
        <w:rPr>
          <w:rFonts w:ascii="Verdana" w:eastAsia="Times New Roman" w:hAnsi="Verdana" w:cs="Times New Roman"/>
          <w:sz w:val="24"/>
          <w:szCs w:val="24"/>
          <w:lang w:eastAsia="en-GB"/>
        </w:rPr>
        <w:tab/>
      </w:r>
      <w:r w:rsidR="00C24639">
        <w:rPr>
          <w:rFonts w:ascii="Verdana" w:eastAsia="Times New Roman" w:hAnsi="Verdana" w:cs="Times New Roman"/>
          <w:sz w:val="24"/>
          <w:szCs w:val="24"/>
          <w:lang w:eastAsia="en-GB"/>
        </w:rPr>
        <w:tab/>
      </w:r>
      <w:r w:rsidR="00C54265" w:rsidRPr="006E61CE">
        <w:rPr>
          <w:rFonts w:ascii="Verdana" w:eastAsia="Times New Roman" w:hAnsi="Verdana" w:cs="Times New Roman"/>
          <w:bCs/>
          <w:sz w:val="24"/>
          <w:szCs w:val="24"/>
          <w:lang w:eastAsia="en-GB"/>
        </w:rPr>
        <w:t>June</w:t>
      </w:r>
      <w:r w:rsidRPr="006E61CE">
        <w:rPr>
          <w:rFonts w:ascii="Verdana" w:eastAsia="Times New Roman" w:hAnsi="Verdana" w:cs="Times New Roman"/>
          <w:bCs/>
          <w:sz w:val="24"/>
          <w:szCs w:val="24"/>
          <w:lang w:eastAsia="en-GB"/>
        </w:rPr>
        <w:t xml:space="preserve"> 202</w:t>
      </w:r>
      <w:r w:rsidR="00C54265" w:rsidRPr="006E61CE">
        <w:rPr>
          <w:rFonts w:ascii="Verdana" w:eastAsia="Times New Roman" w:hAnsi="Verdana" w:cs="Times New Roman"/>
          <w:bCs/>
          <w:sz w:val="24"/>
          <w:szCs w:val="24"/>
          <w:lang w:eastAsia="en-GB"/>
        </w:rPr>
        <w:t>4</w:t>
      </w:r>
    </w:p>
    <w:p w14:paraId="6BBE5604" w14:textId="7FF6DAB9" w:rsidR="006C2EB1" w:rsidRPr="006E61CE" w:rsidRDefault="006C2EB1" w:rsidP="006C2EB1">
      <w:pPr>
        <w:spacing w:after="0" w:line="240" w:lineRule="auto"/>
        <w:rPr>
          <w:rFonts w:ascii="Verdana" w:eastAsia="Times New Roman" w:hAnsi="Verdana" w:cs="Times New Roman"/>
          <w:sz w:val="24"/>
          <w:szCs w:val="24"/>
          <w:lang w:eastAsia="en-GB"/>
        </w:rPr>
      </w:pPr>
    </w:p>
    <w:p w14:paraId="6162355A" w14:textId="3C7EDC96" w:rsidR="006C2EB1" w:rsidRPr="006E61CE" w:rsidRDefault="006C2EB1" w:rsidP="00C24639">
      <w:pPr>
        <w:pStyle w:val="ListParagraph"/>
        <w:spacing w:after="0" w:line="240" w:lineRule="auto"/>
        <w:ind w:left="1080" w:firstLine="360"/>
        <w:rPr>
          <w:rFonts w:ascii="Verdana" w:eastAsia="Times New Roman" w:hAnsi="Verdana" w:cs="Times New Roman"/>
          <w:bCs/>
          <w:sz w:val="24"/>
          <w:szCs w:val="24"/>
          <w:lang w:eastAsia="en-GB"/>
        </w:rPr>
      </w:pPr>
      <w:r w:rsidRPr="006E61CE">
        <w:rPr>
          <w:rFonts w:ascii="Verdana" w:eastAsia="Times New Roman" w:hAnsi="Verdana" w:cs="Times New Roman"/>
          <w:sz w:val="24"/>
          <w:szCs w:val="24"/>
          <w:lang w:eastAsia="en-GB"/>
        </w:rPr>
        <w:t>Review Date</w:t>
      </w:r>
      <w:r w:rsidRPr="006E61CE">
        <w:rPr>
          <w:rFonts w:ascii="Verdana" w:eastAsia="Times New Roman" w:hAnsi="Verdana" w:cs="Times New Roman"/>
          <w:sz w:val="24"/>
          <w:szCs w:val="24"/>
          <w:lang w:eastAsia="en-GB"/>
        </w:rPr>
        <w:tab/>
      </w:r>
      <w:r w:rsidR="007812EE" w:rsidRPr="006E61CE">
        <w:rPr>
          <w:rFonts w:ascii="Verdana" w:eastAsia="Times New Roman" w:hAnsi="Verdana" w:cs="Times New Roman"/>
          <w:sz w:val="24"/>
          <w:szCs w:val="24"/>
          <w:lang w:eastAsia="en-GB"/>
        </w:rPr>
        <w:tab/>
      </w:r>
      <w:r w:rsidRPr="006E61CE">
        <w:rPr>
          <w:rFonts w:ascii="Verdana" w:eastAsia="Times New Roman" w:hAnsi="Verdana" w:cs="Times New Roman"/>
          <w:bCs/>
          <w:sz w:val="24"/>
          <w:szCs w:val="24"/>
          <w:lang w:eastAsia="en-GB"/>
        </w:rPr>
        <w:t>July 202</w:t>
      </w:r>
      <w:r w:rsidR="00C54265" w:rsidRPr="006E61CE">
        <w:rPr>
          <w:rFonts w:ascii="Verdana" w:eastAsia="Times New Roman" w:hAnsi="Verdana" w:cs="Times New Roman"/>
          <w:bCs/>
          <w:sz w:val="24"/>
          <w:szCs w:val="24"/>
          <w:lang w:eastAsia="en-GB"/>
        </w:rPr>
        <w:t>5</w:t>
      </w:r>
    </w:p>
    <w:p w14:paraId="3C31F467" w14:textId="77777777" w:rsidR="006C2EB1" w:rsidRPr="00C24639" w:rsidRDefault="006C2EB1" w:rsidP="006C2EB1">
      <w:pPr>
        <w:spacing w:after="0" w:line="240" w:lineRule="auto"/>
        <w:rPr>
          <w:rFonts w:ascii="Verdana" w:eastAsia="Times New Roman" w:hAnsi="Verdana" w:cs="Times New Roman"/>
          <w:sz w:val="24"/>
          <w:szCs w:val="24"/>
          <w:lang w:eastAsia="en-GB"/>
        </w:rPr>
      </w:pPr>
    </w:p>
    <w:p w14:paraId="2EE3E2A1" w14:textId="16A25A60" w:rsidR="006C2EB1" w:rsidRPr="00C24639" w:rsidRDefault="006C2EB1" w:rsidP="00C24639">
      <w:pPr>
        <w:pStyle w:val="ListParagraph"/>
        <w:spacing w:after="0" w:line="240" w:lineRule="auto"/>
        <w:ind w:left="1080" w:firstLine="360"/>
        <w:rPr>
          <w:rFonts w:ascii="Verdana" w:eastAsia="Times New Roman" w:hAnsi="Verdana" w:cs="Times New Roman"/>
          <w:sz w:val="24"/>
          <w:szCs w:val="24"/>
          <w:lang w:eastAsia="en-GB"/>
        </w:rPr>
      </w:pPr>
      <w:r w:rsidRPr="00C24639">
        <w:rPr>
          <w:rFonts w:ascii="Verdana" w:eastAsia="Times New Roman" w:hAnsi="Verdana" w:cs="Times New Roman"/>
          <w:sz w:val="24"/>
          <w:szCs w:val="24"/>
          <w:lang w:eastAsia="en-GB"/>
        </w:rPr>
        <w:t>Originator</w:t>
      </w:r>
      <w:r w:rsidRPr="00C24639">
        <w:rPr>
          <w:rFonts w:ascii="Verdana" w:eastAsia="Times New Roman" w:hAnsi="Verdana" w:cs="Times New Roman"/>
          <w:sz w:val="24"/>
          <w:szCs w:val="24"/>
          <w:lang w:eastAsia="en-GB"/>
        </w:rPr>
        <w:tab/>
      </w:r>
      <w:r w:rsidR="007812EE" w:rsidRPr="00C24639">
        <w:rPr>
          <w:rFonts w:ascii="Verdana" w:eastAsia="Times New Roman" w:hAnsi="Verdana" w:cs="Times New Roman"/>
          <w:sz w:val="24"/>
          <w:szCs w:val="24"/>
          <w:lang w:eastAsia="en-GB"/>
        </w:rPr>
        <w:tab/>
      </w:r>
      <w:r w:rsid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Director of Work Based Learning</w:t>
      </w:r>
    </w:p>
    <w:p w14:paraId="239E668F" w14:textId="0ED14682" w:rsidR="006C2EB1" w:rsidRPr="00C24639" w:rsidRDefault="006C2EB1" w:rsidP="006C2EB1">
      <w:pPr>
        <w:spacing w:after="0" w:line="240" w:lineRule="auto"/>
        <w:rPr>
          <w:rFonts w:ascii="Verdana" w:eastAsia="Times New Roman" w:hAnsi="Verdana" w:cs="Times New Roman"/>
          <w:sz w:val="24"/>
          <w:szCs w:val="24"/>
          <w:lang w:eastAsia="en-GB"/>
        </w:rPr>
      </w:pPr>
    </w:p>
    <w:p w14:paraId="61CD1ABE" w14:textId="5E26EEC1" w:rsidR="007812EE" w:rsidRPr="00C24639" w:rsidRDefault="006C2EB1" w:rsidP="00C24639">
      <w:pPr>
        <w:pStyle w:val="ListParagraph"/>
        <w:spacing w:after="0" w:line="240" w:lineRule="auto"/>
        <w:ind w:left="1080" w:firstLine="360"/>
        <w:rPr>
          <w:rFonts w:ascii="Verdana" w:eastAsia="Times New Roman" w:hAnsi="Verdana" w:cs="Times New Roman"/>
          <w:sz w:val="24"/>
          <w:szCs w:val="24"/>
          <w:lang w:eastAsia="en-GB"/>
        </w:rPr>
      </w:pPr>
      <w:r w:rsidRPr="00C24639">
        <w:rPr>
          <w:rFonts w:ascii="Verdana" w:eastAsia="Times New Roman" w:hAnsi="Verdana" w:cs="Times New Roman"/>
          <w:sz w:val="24"/>
          <w:szCs w:val="24"/>
          <w:lang w:eastAsia="en-GB"/>
        </w:rPr>
        <w:t>Location of Policy</w:t>
      </w:r>
      <w:r w:rsidR="007812EE" w:rsidRPr="00C24639">
        <w:rPr>
          <w:rFonts w:ascii="Verdana" w:eastAsia="Times New Roman" w:hAnsi="Verdana" w:cs="Times New Roman"/>
          <w:sz w:val="24"/>
          <w:szCs w:val="24"/>
          <w:lang w:eastAsia="en-GB"/>
        </w:rPr>
        <w:tab/>
      </w:r>
      <w:r w:rsidR="00C24639">
        <w:rPr>
          <w:rFonts w:ascii="Verdana" w:eastAsia="Times New Roman" w:hAnsi="Verdana" w:cs="Times New Roman"/>
          <w:sz w:val="24"/>
          <w:szCs w:val="24"/>
          <w:lang w:eastAsia="en-GB"/>
        </w:rPr>
        <w:tab/>
      </w:r>
      <w:r w:rsidRPr="00C24639">
        <w:rPr>
          <w:rFonts w:ascii="Verdana" w:eastAsia="Times New Roman" w:hAnsi="Verdana" w:cs="Times New Roman"/>
          <w:bCs/>
          <w:sz w:val="24"/>
          <w:szCs w:val="24"/>
          <w:lang w:eastAsia="en-GB"/>
        </w:rPr>
        <w:t>BIZ-</w:t>
      </w:r>
      <w:proofErr w:type="spellStart"/>
      <w:r w:rsidRPr="00C24639">
        <w:rPr>
          <w:rFonts w:ascii="Verdana" w:eastAsia="Times New Roman" w:hAnsi="Verdana" w:cs="Times New Roman"/>
          <w:bCs/>
          <w:sz w:val="24"/>
          <w:szCs w:val="24"/>
          <w:lang w:eastAsia="en-GB"/>
        </w:rPr>
        <w:t>Sharepoint</w:t>
      </w:r>
      <w:proofErr w:type="spellEnd"/>
      <w:r w:rsidRPr="00C24639">
        <w:rPr>
          <w:rFonts w:ascii="Verdana" w:eastAsia="Times New Roman" w:hAnsi="Verdana" w:cs="Times New Roman"/>
          <w:bCs/>
          <w:sz w:val="24"/>
          <w:szCs w:val="24"/>
          <w:lang w:eastAsia="en-GB"/>
        </w:rPr>
        <w:t xml:space="preserve">/Intranet/Policies &amp; </w:t>
      </w:r>
    </w:p>
    <w:p w14:paraId="79949233" w14:textId="3DDCFC70" w:rsidR="006C2EB1" w:rsidRPr="00C24639" w:rsidRDefault="006C2EB1" w:rsidP="00C24639">
      <w:pPr>
        <w:spacing w:after="0" w:line="240" w:lineRule="auto"/>
        <w:ind w:left="3600" w:firstLine="720"/>
        <w:rPr>
          <w:rFonts w:ascii="Verdana" w:eastAsia="Times New Roman" w:hAnsi="Verdana" w:cs="Times New Roman"/>
          <w:sz w:val="24"/>
          <w:szCs w:val="24"/>
          <w:lang w:eastAsia="en-GB"/>
        </w:rPr>
      </w:pPr>
      <w:r w:rsidRPr="00C24639">
        <w:rPr>
          <w:rFonts w:ascii="Verdana" w:eastAsia="Times New Roman" w:hAnsi="Verdana" w:cs="Times New Roman"/>
          <w:bCs/>
          <w:sz w:val="24"/>
          <w:szCs w:val="24"/>
          <w:lang w:eastAsia="en-GB"/>
        </w:rPr>
        <w:t>Procedures/Finance</w:t>
      </w:r>
    </w:p>
    <w:p w14:paraId="53B9B985" w14:textId="77777777" w:rsidR="006C2EB1" w:rsidRPr="00C24639" w:rsidRDefault="006C2EB1" w:rsidP="006C2EB1">
      <w:pPr>
        <w:spacing w:after="0" w:line="240" w:lineRule="auto"/>
        <w:rPr>
          <w:rFonts w:ascii="Verdana" w:eastAsia="Times New Roman" w:hAnsi="Verdana" w:cs="Times New Roman"/>
          <w:bCs/>
          <w:sz w:val="24"/>
          <w:szCs w:val="24"/>
          <w:lang w:eastAsia="en-GB"/>
        </w:rPr>
      </w:pPr>
    </w:p>
    <w:p w14:paraId="170EFB0F" w14:textId="41E2D43E" w:rsidR="006C2EB1" w:rsidRPr="00C24639" w:rsidRDefault="006C2EB1" w:rsidP="00C24639">
      <w:pPr>
        <w:spacing w:after="0" w:line="240" w:lineRule="auto"/>
        <w:ind w:left="4320"/>
        <w:rPr>
          <w:rFonts w:ascii="Verdana" w:eastAsia="Times New Roman" w:hAnsi="Verdana" w:cs="Times New Roman"/>
          <w:bCs/>
          <w:sz w:val="24"/>
          <w:szCs w:val="24"/>
          <w:lang w:eastAsia="en-GB"/>
        </w:rPr>
      </w:pPr>
      <w:r w:rsidRPr="00C24639">
        <w:rPr>
          <w:rFonts w:ascii="Verdana" w:eastAsia="Times New Roman" w:hAnsi="Verdana" w:cs="Times New Roman"/>
          <w:bCs/>
          <w:sz w:val="24"/>
          <w:szCs w:val="24"/>
          <w:lang w:eastAsia="en-GB"/>
        </w:rPr>
        <w:t xml:space="preserve">WBL/Admin/WBL Procedures/ESFA Procedures </w:t>
      </w:r>
    </w:p>
    <w:p w14:paraId="34C23CD3" w14:textId="77777777" w:rsidR="006C2EB1" w:rsidRPr="00C24639" w:rsidRDefault="006C2EB1" w:rsidP="006C2EB1">
      <w:pPr>
        <w:spacing w:after="0" w:line="240" w:lineRule="auto"/>
        <w:rPr>
          <w:rFonts w:ascii="Verdana" w:eastAsia="Times New Roman" w:hAnsi="Verdana" w:cs="Times New Roman"/>
          <w:bCs/>
          <w:sz w:val="24"/>
          <w:szCs w:val="24"/>
          <w:lang w:eastAsia="en-GB"/>
        </w:rPr>
      </w:pPr>
    </w:p>
    <w:p w14:paraId="133BD62F" w14:textId="5A8FAC25" w:rsidR="006C2EB1" w:rsidRPr="00C24639" w:rsidRDefault="006C2EB1" w:rsidP="00C24639">
      <w:pPr>
        <w:spacing w:after="0" w:line="240" w:lineRule="auto"/>
        <w:ind w:left="4320"/>
        <w:rPr>
          <w:rFonts w:ascii="Verdana" w:eastAsia="Times New Roman" w:hAnsi="Verdana" w:cs="Times New Roman"/>
          <w:bCs/>
          <w:sz w:val="24"/>
          <w:szCs w:val="24"/>
          <w:lang w:eastAsia="en-GB"/>
        </w:rPr>
      </w:pPr>
      <w:r w:rsidRPr="00C24639">
        <w:rPr>
          <w:rFonts w:ascii="Verdana" w:eastAsia="Times New Roman" w:hAnsi="Verdana" w:cs="Times New Roman"/>
          <w:bCs/>
          <w:sz w:val="24"/>
          <w:szCs w:val="24"/>
          <w:lang w:eastAsia="en-GB"/>
        </w:rPr>
        <w:t>WBL/Admin/WBL Procedures/WG Procedures</w:t>
      </w:r>
    </w:p>
    <w:p w14:paraId="54CBF091" w14:textId="77777777" w:rsidR="00C24639" w:rsidRPr="00C24639" w:rsidRDefault="00C24639" w:rsidP="007812EE">
      <w:pPr>
        <w:spacing w:after="0" w:line="240" w:lineRule="auto"/>
        <w:ind w:left="2880" w:firstLine="720"/>
        <w:rPr>
          <w:rFonts w:ascii="Verdana" w:eastAsia="Times New Roman" w:hAnsi="Verdana" w:cs="Times New Roman"/>
          <w:bCs/>
          <w:sz w:val="24"/>
          <w:szCs w:val="24"/>
          <w:lang w:eastAsia="en-GB"/>
        </w:rPr>
      </w:pPr>
    </w:p>
    <w:p w14:paraId="7068042F" w14:textId="35737FAF" w:rsidR="00C24639" w:rsidRPr="00C24639" w:rsidRDefault="00C24639" w:rsidP="00C24639">
      <w:pPr>
        <w:pStyle w:val="ListParagraph"/>
        <w:spacing w:after="0" w:line="240" w:lineRule="auto"/>
        <w:ind w:left="1080" w:firstLine="360"/>
        <w:rPr>
          <w:rFonts w:ascii="Verdana" w:eastAsia="Times New Roman" w:hAnsi="Verdana" w:cs="Times New Roman"/>
          <w:b/>
          <w:sz w:val="24"/>
          <w:szCs w:val="24"/>
          <w:lang w:eastAsia="en-GB"/>
        </w:rPr>
      </w:pPr>
      <w:bookmarkStart w:id="1" w:name="_Hlk174010132"/>
      <w:r w:rsidRPr="00C24639">
        <w:rPr>
          <w:rFonts w:ascii="Verdana" w:eastAsia="Times New Roman" w:hAnsi="Verdana" w:cs="Times New Roman"/>
          <w:sz w:val="24"/>
          <w:szCs w:val="24"/>
          <w:lang w:eastAsia="en-GB"/>
        </w:rPr>
        <w:t>Policy approved by</w:t>
      </w:r>
      <w:r w:rsidRPr="00C24639">
        <w:rPr>
          <w:rFonts w:ascii="Verdana" w:eastAsia="Times New Roman" w:hAnsi="Verdana" w:cs="Times New Roman"/>
          <w:sz w:val="24"/>
          <w:szCs w:val="24"/>
          <w:lang w:eastAsia="en-GB"/>
        </w:rPr>
        <w:tab/>
        <w:t>Senior Leadership Team – 20</w:t>
      </w:r>
      <w:r w:rsidR="0055743F">
        <w:rPr>
          <w:rFonts w:ascii="Verdana" w:eastAsia="Times New Roman" w:hAnsi="Verdana" w:cs="Times New Roman"/>
          <w:sz w:val="24"/>
          <w:szCs w:val="24"/>
          <w:lang w:eastAsia="en-GB"/>
        </w:rPr>
        <w:t xml:space="preserve"> June </w:t>
      </w:r>
      <w:r w:rsidRPr="00C24639">
        <w:rPr>
          <w:rFonts w:ascii="Verdana" w:eastAsia="Times New Roman" w:hAnsi="Verdana" w:cs="Times New Roman"/>
          <w:sz w:val="24"/>
          <w:szCs w:val="24"/>
          <w:lang w:eastAsia="en-GB"/>
        </w:rPr>
        <w:t>24</w:t>
      </w:r>
    </w:p>
    <w:bookmarkEnd w:id="1"/>
    <w:p w14:paraId="25E62F66" w14:textId="77777777" w:rsidR="00C24639" w:rsidRPr="00C24639" w:rsidRDefault="00C24639" w:rsidP="00C24639">
      <w:pPr>
        <w:pStyle w:val="ListParagraph"/>
        <w:spacing w:after="0" w:line="240" w:lineRule="auto"/>
        <w:ind w:left="1080"/>
        <w:rPr>
          <w:rFonts w:ascii="Verdana" w:eastAsia="Times New Roman" w:hAnsi="Verdana" w:cs="Times New Roman"/>
          <w:b/>
          <w:sz w:val="24"/>
          <w:szCs w:val="24"/>
          <w:lang w:eastAsia="en-GB"/>
        </w:rPr>
      </w:pPr>
    </w:p>
    <w:p w14:paraId="108E1DC8" w14:textId="0AB5354C" w:rsidR="00C24639" w:rsidRPr="00C24639" w:rsidRDefault="00C24639" w:rsidP="00C24639">
      <w:pPr>
        <w:pStyle w:val="ListParagraph"/>
        <w:spacing w:after="0" w:line="240" w:lineRule="auto"/>
        <w:ind w:left="1080" w:firstLine="360"/>
        <w:rPr>
          <w:rFonts w:ascii="Verdana" w:eastAsia="Times New Roman" w:hAnsi="Verdana" w:cs="Times New Roman"/>
          <w:sz w:val="24"/>
          <w:szCs w:val="24"/>
          <w:lang w:eastAsia="en-GB"/>
        </w:rPr>
      </w:pPr>
      <w:r w:rsidRPr="00C24639">
        <w:rPr>
          <w:rFonts w:ascii="Verdana" w:eastAsia="Times New Roman" w:hAnsi="Verdana" w:cs="Times New Roman"/>
          <w:sz w:val="24"/>
          <w:szCs w:val="24"/>
          <w:lang w:eastAsia="en-GB"/>
        </w:rPr>
        <w:t>Version</w:t>
      </w:r>
      <w:r w:rsidRP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ab/>
        <w:t>V7.0</w:t>
      </w:r>
    </w:p>
    <w:p w14:paraId="64CA64E5" w14:textId="77777777" w:rsidR="00C24639" w:rsidRPr="00C24639" w:rsidRDefault="00C24639" w:rsidP="00C24639">
      <w:pPr>
        <w:pStyle w:val="ListParagraph"/>
        <w:spacing w:after="0" w:line="240" w:lineRule="auto"/>
        <w:ind w:left="1080"/>
        <w:rPr>
          <w:rFonts w:ascii="Verdana" w:eastAsia="Times New Roman" w:hAnsi="Verdana" w:cs="Times New Roman"/>
          <w:sz w:val="24"/>
          <w:szCs w:val="24"/>
          <w:lang w:eastAsia="en-GB"/>
        </w:rPr>
      </w:pPr>
    </w:p>
    <w:p w14:paraId="2CB55319" w14:textId="46EF943B" w:rsidR="00C24639" w:rsidRPr="00C24639" w:rsidRDefault="00C24639" w:rsidP="00C24639">
      <w:pPr>
        <w:pStyle w:val="ListParagraph"/>
        <w:spacing w:after="0" w:line="240" w:lineRule="auto"/>
        <w:ind w:left="1080" w:firstLine="360"/>
        <w:rPr>
          <w:rFonts w:ascii="Verdana" w:eastAsia="Times New Roman" w:hAnsi="Verdana" w:cs="Times New Roman"/>
          <w:b/>
          <w:sz w:val="24"/>
          <w:szCs w:val="24"/>
          <w:lang w:eastAsia="en-GB"/>
        </w:rPr>
      </w:pPr>
      <w:r w:rsidRPr="00C24639">
        <w:rPr>
          <w:rFonts w:ascii="Verdana" w:eastAsia="Times New Roman" w:hAnsi="Verdana" w:cs="Times New Roman"/>
          <w:sz w:val="24"/>
          <w:szCs w:val="24"/>
          <w:lang w:eastAsia="en-GB"/>
        </w:rPr>
        <w:t>Category</w:t>
      </w:r>
      <w:r w:rsidRP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ab/>
      </w:r>
      <w:r w:rsidRPr="00C24639">
        <w:rPr>
          <w:rFonts w:ascii="Verdana" w:eastAsia="Times New Roman" w:hAnsi="Verdana" w:cs="Times New Roman"/>
          <w:sz w:val="24"/>
          <w:szCs w:val="24"/>
          <w:lang w:eastAsia="en-GB"/>
        </w:rPr>
        <w:tab/>
        <w:t>Public</w:t>
      </w:r>
      <w:r w:rsidRPr="00C24639">
        <w:rPr>
          <w:rFonts w:ascii="Verdana" w:eastAsia="Times New Roman" w:hAnsi="Verdana" w:cs="Times New Roman"/>
          <w:b/>
          <w:sz w:val="24"/>
          <w:szCs w:val="24"/>
          <w:lang w:eastAsia="en-GB"/>
        </w:rPr>
        <w:tab/>
      </w:r>
    </w:p>
    <w:p w14:paraId="4B94D5A5" w14:textId="39D1562E" w:rsidR="005C553B" w:rsidRPr="00C24639" w:rsidRDefault="006C2EB1" w:rsidP="005C553B">
      <w:pPr>
        <w:spacing w:after="0" w:line="240" w:lineRule="auto"/>
        <w:rPr>
          <w:rFonts w:ascii="Verdana" w:eastAsia="Times New Roman" w:hAnsi="Verdana" w:cs="Times New Roman"/>
          <w:sz w:val="24"/>
          <w:szCs w:val="24"/>
          <w:lang w:eastAsia="en-GB"/>
        </w:rPr>
      </w:pPr>
      <w:r w:rsidRPr="00C24639">
        <w:rPr>
          <w:rFonts w:ascii="Verdana" w:eastAsia="Times New Roman" w:hAnsi="Verdana" w:cs="Times New Roman"/>
          <w:b/>
          <w:sz w:val="24"/>
          <w:szCs w:val="24"/>
          <w:lang w:eastAsia="en-GB"/>
        </w:rPr>
        <w:tab/>
      </w:r>
    </w:p>
    <w:p w14:paraId="0562CB0E" w14:textId="648A4638" w:rsidR="006C2EB1" w:rsidRDefault="006C2EB1">
      <w:pPr>
        <w:rPr>
          <w:rFonts w:ascii="Verdana" w:hAnsi="Verdana" w:cs="Arial"/>
          <w:b/>
        </w:rPr>
      </w:pPr>
      <w:r>
        <w:rPr>
          <w:rFonts w:ascii="Verdana" w:hAnsi="Verdana" w:cs="Arial"/>
          <w:b/>
        </w:rPr>
        <w:br w:type="page"/>
      </w:r>
    </w:p>
    <w:p w14:paraId="76F282EB" w14:textId="13A38B39" w:rsidR="00C03491" w:rsidRPr="007812EE" w:rsidRDefault="005C553B" w:rsidP="007812EE">
      <w:pPr>
        <w:pStyle w:val="Heading1"/>
        <w:spacing w:before="0" w:line="240" w:lineRule="auto"/>
        <w:rPr>
          <w:rFonts w:ascii="Verdana" w:hAnsi="Verdana"/>
          <w:color w:val="auto"/>
          <w:sz w:val="28"/>
          <w:szCs w:val="28"/>
        </w:rPr>
      </w:pPr>
      <w:r w:rsidRPr="007812EE">
        <w:rPr>
          <w:rFonts w:ascii="Verdana" w:hAnsi="Verdana"/>
          <w:color w:val="auto"/>
          <w:sz w:val="28"/>
          <w:szCs w:val="28"/>
        </w:rPr>
        <w:lastRenderedPageBreak/>
        <w:t>1.</w:t>
      </w:r>
      <w:r w:rsidRPr="007812EE">
        <w:rPr>
          <w:rFonts w:ascii="Verdana" w:hAnsi="Verdana"/>
          <w:color w:val="auto"/>
          <w:sz w:val="28"/>
          <w:szCs w:val="28"/>
        </w:rPr>
        <w:tab/>
      </w:r>
      <w:r w:rsidR="00C03491" w:rsidRPr="007812EE">
        <w:rPr>
          <w:rFonts w:ascii="Verdana" w:hAnsi="Verdana"/>
          <w:color w:val="auto"/>
          <w:sz w:val="28"/>
          <w:szCs w:val="28"/>
        </w:rPr>
        <w:t>Scope</w:t>
      </w:r>
    </w:p>
    <w:p w14:paraId="5997CC1D" w14:textId="78BB7216" w:rsidR="005C553B" w:rsidRDefault="005C553B" w:rsidP="007812EE">
      <w:pPr>
        <w:spacing w:after="0" w:line="240" w:lineRule="auto"/>
        <w:rPr>
          <w:rFonts w:ascii="Verdana" w:hAnsi="Verdana"/>
        </w:rPr>
      </w:pPr>
    </w:p>
    <w:p w14:paraId="0E707A01" w14:textId="0420C893" w:rsidR="00C03491" w:rsidRPr="005C553B" w:rsidRDefault="00C03491" w:rsidP="007812EE">
      <w:pPr>
        <w:spacing w:after="0" w:line="240" w:lineRule="auto"/>
        <w:ind w:left="720"/>
        <w:rPr>
          <w:rFonts w:ascii="Verdana" w:hAnsi="Verdana"/>
        </w:rPr>
      </w:pPr>
      <w:r w:rsidRPr="00F86CA9">
        <w:rPr>
          <w:rFonts w:ascii="Verdana" w:hAnsi="Verdana"/>
        </w:rPr>
        <w:t>This policy applies to all supply chain activity supp</w:t>
      </w:r>
      <w:r w:rsidR="00B0165A" w:rsidRPr="00F86CA9">
        <w:rPr>
          <w:rFonts w:ascii="Verdana" w:hAnsi="Verdana"/>
        </w:rPr>
        <w:t xml:space="preserve">orted with funds supplied by Welsh Government </w:t>
      </w:r>
      <w:r w:rsidR="001010B0" w:rsidRPr="00F86CA9">
        <w:rPr>
          <w:rFonts w:ascii="Verdana" w:hAnsi="Verdana"/>
        </w:rPr>
        <w:t xml:space="preserve">(WG) </w:t>
      </w:r>
      <w:r w:rsidR="00B0165A" w:rsidRPr="00F86CA9">
        <w:rPr>
          <w:rFonts w:ascii="Verdana" w:hAnsi="Verdana"/>
        </w:rPr>
        <w:t xml:space="preserve">for provision funded in Wales and </w:t>
      </w:r>
      <w:r w:rsidRPr="00F86CA9">
        <w:rPr>
          <w:rFonts w:ascii="Verdana" w:hAnsi="Verdana"/>
        </w:rPr>
        <w:t xml:space="preserve">Education and Skills Funding Agency (ESFA) </w:t>
      </w:r>
      <w:r w:rsidR="00B0165A" w:rsidRPr="00F86CA9">
        <w:rPr>
          <w:rFonts w:ascii="Verdana" w:hAnsi="Verdana"/>
        </w:rPr>
        <w:t>for provision funded in England</w:t>
      </w:r>
      <w:r w:rsidR="005B1418" w:rsidRPr="00F86CA9">
        <w:rPr>
          <w:rFonts w:ascii="Verdana" w:hAnsi="Verdana"/>
        </w:rPr>
        <w:t>,</w:t>
      </w:r>
      <w:r w:rsidR="00B0165A" w:rsidRPr="00F86CA9">
        <w:rPr>
          <w:rFonts w:ascii="Verdana" w:hAnsi="Verdana"/>
        </w:rPr>
        <w:t xml:space="preserve"> </w:t>
      </w:r>
      <w:r w:rsidRPr="00F86CA9">
        <w:rPr>
          <w:rFonts w:ascii="Verdana" w:hAnsi="Verdana"/>
        </w:rPr>
        <w:t>or any successor organisations.</w:t>
      </w:r>
    </w:p>
    <w:p w14:paraId="6B699379" w14:textId="77777777" w:rsidR="005C553B" w:rsidRDefault="005C553B" w:rsidP="007812EE">
      <w:pPr>
        <w:spacing w:after="0" w:line="240" w:lineRule="auto"/>
        <w:rPr>
          <w:rFonts w:ascii="Verdana" w:hAnsi="Verdana" w:cs="Arial"/>
          <w:b/>
        </w:rPr>
      </w:pPr>
    </w:p>
    <w:p w14:paraId="353736C7" w14:textId="77777777" w:rsidR="00C03491"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2.</w:t>
      </w:r>
      <w:r w:rsidRPr="006C2EB1">
        <w:rPr>
          <w:rFonts w:ascii="Verdana" w:hAnsi="Verdana"/>
          <w:color w:val="auto"/>
          <w:sz w:val="28"/>
          <w:szCs w:val="28"/>
        </w:rPr>
        <w:tab/>
      </w:r>
      <w:r w:rsidR="00C03491" w:rsidRPr="006C2EB1">
        <w:rPr>
          <w:rFonts w:ascii="Verdana" w:hAnsi="Verdana"/>
          <w:color w:val="auto"/>
          <w:sz w:val="28"/>
          <w:szCs w:val="28"/>
        </w:rPr>
        <w:t>Context</w:t>
      </w:r>
    </w:p>
    <w:p w14:paraId="3FE9F23F" w14:textId="77777777" w:rsidR="005C553B" w:rsidRDefault="005C553B" w:rsidP="007812EE">
      <w:pPr>
        <w:spacing w:after="0" w:line="240" w:lineRule="auto"/>
        <w:rPr>
          <w:rFonts w:ascii="Verdana" w:hAnsi="Verdana"/>
        </w:rPr>
      </w:pPr>
    </w:p>
    <w:p w14:paraId="2F33E81D" w14:textId="1FB4FBCC" w:rsidR="00C03491" w:rsidRPr="00E17110" w:rsidRDefault="00057453" w:rsidP="007812EE">
      <w:pPr>
        <w:spacing w:after="0" w:line="240" w:lineRule="auto"/>
        <w:ind w:left="720"/>
        <w:rPr>
          <w:rFonts w:ascii="Verdana" w:hAnsi="Verdana"/>
        </w:rPr>
      </w:pPr>
      <w:r>
        <w:rPr>
          <w:rFonts w:ascii="Verdana" w:hAnsi="Verdana"/>
        </w:rPr>
        <w:t>The P</w:t>
      </w:r>
      <w:r w:rsidR="00C03491" w:rsidRPr="00F46941">
        <w:rPr>
          <w:rFonts w:ascii="Verdana" w:hAnsi="Verdana"/>
        </w:rPr>
        <w:t>olicy is a mandatory requirement that must be in place prior to participating in any subcontract</w:t>
      </w:r>
      <w:r w:rsidR="00B0165A" w:rsidRPr="00F46941">
        <w:rPr>
          <w:rFonts w:ascii="Verdana" w:hAnsi="Verdana"/>
        </w:rPr>
        <w:t>ing activity from 1 August 2017.</w:t>
      </w:r>
      <w:r w:rsidR="000D7B0C" w:rsidRPr="00F46941">
        <w:rPr>
          <w:rFonts w:ascii="Verdana" w:hAnsi="Verdana"/>
        </w:rPr>
        <w:t xml:space="preserve"> </w:t>
      </w:r>
      <w:r w:rsidR="00416F53" w:rsidRPr="003B1C6D">
        <w:rPr>
          <w:rFonts w:ascii="Verdana" w:hAnsi="Verdana"/>
        </w:rPr>
        <w:t xml:space="preserve"> </w:t>
      </w:r>
      <w:r w:rsidR="003B1C6D" w:rsidRPr="003B1C6D">
        <w:rPr>
          <w:rFonts w:ascii="Verdana" w:hAnsi="Verdana"/>
        </w:rPr>
        <w:t>Each contract</w:t>
      </w:r>
      <w:r w:rsidR="000D7B0C" w:rsidRPr="00E17110">
        <w:rPr>
          <w:rFonts w:ascii="Verdana" w:hAnsi="Verdana"/>
        </w:rPr>
        <w:t xml:space="preserve"> year</w:t>
      </w:r>
      <w:r>
        <w:rPr>
          <w:rFonts w:ascii="Verdana" w:hAnsi="Verdana"/>
        </w:rPr>
        <w:t>,</w:t>
      </w:r>
      <w:r w:rsidR="000D7B0C" w:rsidRPr="00E17110">
        <w:rPr>
          <w:rFonts w:ascii="Verdana" w:hAnsi="Verdana"/>
        </w:rPr>
        <w:t xml:space="preserve"> we need to publish our sub-contracting fees and what sub-contractors receive for these fees on our website.</w:t>
      </w:r>
    </w:p>
    <w:p w14:paraId="1F72F646" w14:textId="77777777" w:rsidR="005C553B" w:rsidRDefault="005C553B" w:rsidP="007812EE">
      <w:pPr>
        <w:spacing w:after="0" w:line="240" w:lineRule="auto"/>
        <w:rPr>
          <w:rFonts w:ascii="Verdana" w:hAnsi="Verdana" w:cs="Arial"/>
          <w:b/>
        </w:rPr>
      </w:pPr>
    </w:p>
    <w:p w14:paraId="45340C6B" w14:textId="77777777" w:rsidR="00C03491"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3.</w:t>
      </w:r>
      <w:r w:rsidRPr="006C2EB1">
        <w:rPr>
          <w:rFonts w:ascii="Verdana" w:hAnsi="Verdana"/>
          <w:color w:val="auto"/>
          <w:sz w:val="28"/>
          <w:szCs w:val="28"/>
        </w:rPr>
        <w:tab/>
      </w:r>
      <w:r w:rsidR="00C03491" w:rsidRPr="006C2EB1">
        <w:rPr>
          <w:rFonts w:ascii="Verdana" w:hAnsi="Verdana"/>
          <w:color w:val="auto"/>
          <w:sz w:val="28"/>
          <w:szCs w:val="28"/>
        </w:rPr>
        <w:t xml:space="preserve">Rationale for </w:t>
      </w:r>
      <w:r w:rsidRPr="006C2EB1">
        <w:rPr>
          <w:rFonts w:ascii="Verdana" w:hAnsi="Verdana"/>
          <w:color w:val="auto"/>
          <w:sz w:val="28"/>
          <w:szCs w:val="28"/>
        </w:rPr>
        <w:t>S</w:t>
      </w:r>
      <w:r w:rsidR="00C03491" w:rsidRPr="006C2EB1">
        <w:rPr>
          <w:rFonts w:ascii="Verdana" w:hAnsi="Verdana"/>
          <w:color w:val="auto"/>
          <w:sz w:val="28"/>
          <w:szCs w:val="28"/>
        </w:rPr>
        <w:t>ub-</w:t>
      </w:r>
      <w:r w:rsidRPr="006C2EB1">
        <w:rPr>
          <w:rFonts w:ascii="Verdana" w:hAnsi="Verdana"/>
          <w:color w:val="auto"/>
          <w:sz w:val="28"/>
          <w:szCs w:val="28"/>
        </w:rPr>
        <w:t>C</w:t>
      </w:r>
      <w:r w:rsidR="00C03491" w:rsidRPr="006C2EB1">
        <w:rPr>
          <w:rFonts w:ascii="Verdana" w:hAnsi="Verdana"/>
          <w:color w:val="auto"/>
          <w:sz w:val="28"/>
          <w:szCs w:val="28"/>
        </w:rPr>
        <w:t xml:space="preserve">ontracting </w:t>
      </w:r>
    </w:p>
    <w:p w14:paraId="3FB04959" w14:textId="77777777" w:rsidR="007812EE" w:rsidRDefault="007812EE" w:rsidP="007812EE">
      <w:pPr>
        <w:spacing w:after="0" w:line="240" w:lineRule="auto"/>
        <w:rPr>
          <w:rFonts w:ascii="Verdana" w:hAnsi="Verdana"/>
        </w:rPr>
      </w:pPr>
    </w:p>
    <w:p w14:paraId="54E8FDEB" w14:textId="0CAC0E61" w:rsidR="00C03491" w:rsidRDefault="00C03491" w:rsidP="007812EE">
      <w:pPr>
        <w:spacing w:after="0" w:line="240" w:lineRule="auto"/>
        <w:ind w:left="706"/>
        <w:rPr>
          <w:rFonts w:ascii="Verdana" w:hAnsi="Verdana"/>
        </w:rPr>
      </w:pPr>
      <w:r w:rsidRPr="005C553B">
        <w:rPr>
          <w:rFonts w:ascii="Verdana" w:hAnsi="Verdana"/>
        </w:rPr>
        <w:t xml:space="preserve">The </w:t>
      </w:r>
      <w:r w:rsidR="005C553B">
        <w:rPr>
          <w:rFonts w:ascii="Verdana" w:hAnsi="Verdana"/>
        </w:rPr>
        <w:t>C</w:t>
      </w:r>
      <w:r w:rsidRPr="005C553B">
        <w:rPr>
          <w:rFonts w:ascii="Verdana" w:hAnsi="Verdana"/>
        </w:rPr>
        <w:t xml:space="preserve">ollege engages with sub-contractors in order to better meet customer needs and to do the following: </w:t>
      </w:r>
    </w:p>
    <w:p w14:paraId="6BB9E253" w14:textId="77777777" w:rsidR="005C553B" w:rsidRPr="005C553B" w:rsidRDefault="005C553B" w:rsidP="007812EE">
      <w:pPr>
        <w:spacing w:after="0" w:line="240" w:lineRule="auto"/>
        <w:ind w:left="720" w:hanging="720"/>
        <w:rPr>
          <w:rFonts w:ascii="Verdana" w:hAnsi="Verdana"/>
        </w:rPr>
      </w:pPr>
    </w:p>
    <w:p w14:paraId="09841CDB" w14:textId="506A6D7C" w:rsidR="00C03491" w:rsidRPr="003B1C6D" w:rsidRDefault="00C03491" w:rsidP="007812EE">
      <w:pPr>
        <w:spacing w:after="0" w:line="240" w:lineRule="auto"/>
        <w:ind w:left="1080" w:hanging="374"/>
        <w:rPr>
          <w:rFonts w:ascii="Verdana" w:hAnsi="Verdana"/>
        </w:rPr>
      </w:pPr>
      <w:r w:rsidRPr="005C553B">
        <w:rPr>
          <w:rFonts w:ascii="Verdana" w:hAnsi="Verdana"/>
        </w:rPr>
        <w:t xml:space="preserve">• </w:t>
      </w:r>
      <w:r w:rsidRPr="003B1C6D">
        <w:rPr>
          <w:rFonts w:ascii="Verdana" w:hAnsi="Verdana"/>
        </w:rPr>
        <w:tab/>
        <w:t xml:space="preserve">To work with providers who effectively reach priority learners in the community and who can demonstrate positive </w:t>
      </w:r>
      <w:r w:rsidR="00416F53" w:rsidRPr="003B1C6D">
        <w:rPr>
          <w:rFonts w:ascii="Verdana" w:hAnsi="Verdana"/>
        </w:rPr>
        <w:t xml:space="preserve">learning and </w:t>
      </w:r>
      <w:r w:rsidRPr="003B1C6D">
        <w:rPr>
          <w:rFonts w:ascii="Verdana" w:hAnsi="Verdana"/>
        </w:rPr>
        <w:t>employment outcomes</w:t>
      </w:r>
    </w:p>
    <w:p w14:paraId="6BD885AC"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provide access to, or engagement with, a new range of customers </w:t>
      </w:r>
    </w:p>
    <w:p w14:paraId="6C4031CC"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support another provider to develop capacity/ quality </w:t>
      </w:r>
    </w:p>
    <w:p w14:paraId="25FFD90B" w14:textId="77777777" w:rsidR="00C03491" w:rsidRPr="003B1C6D" w:rsidRDefault="00C03491" w:rsidP="007812EE">
      <w:pPr>
        <w:spacing w:after="0" w:line="240" w:lineRule="auto"/>
        <w:ind w:left="1080" w:hanging="374"/>
        <w:rPr>
          <w:rFonts w:ascii="Verdana" w:hAnsi="Verdana"/>
        </w:rPr>
      </w:pPr>
      <w:r w:rsidRPr="003B1C6D">
        <w:rPr>
          <w:rFonts w:ascii="Verdana" w:hAnsi="Verdana"/>
        </w:rPr>
        <w:t xml:space="preserve">• </w:t>
      </w:r>
      <w:r w:rsidRPr="003B1C6D">
        <w:rPr>
          <w:rFonts w:ascii="Verdana" w:hAnsi="Verdana"/>
        </w:rPr>
        <w:tab/>
        <w:t xml:space="preserve">To provide additional delivery where the cost of developing direct delivery would be unsustainable </w:t>
      </w:r>
    </w:p>
    <w:p w14:paraId="57918FD3" w14:textId="2DC6FF49" w:rsidR="00C03491" w:rsidRPr="003B1C6D" w:rsidRDefault="00C03491" w:rsidP="007812EE">
      <w:pPr>
        <w:pStyle w:val="ListParagraph"/>
        <w:numPr>
          <w:ilvl w:val="0"/>
          <w:numId w:val="3"/>
        </w:numPr>
        <w:spacing w:after="0" w:line="240" w:lineRule="auto"/>
        <w:ind w:left="1080" w:hanging="374"/>
        <w:rPr>
          <w:rFonts w:ascii="Verdana" w:hAnsi="Verdana"/>
        </w:rPr>
      </w:pPr>
      <w:r w:rsidRPr="003B1C6D">
        <w:rPr>
          <w:rFonts w:ascii="Verdana" w:hAnsi="Verdana"/>
        </w:rPr>
        <w:t xml:space="preserve">To work with providers that offer sector </w:t>
      </w:r>
      <w:r w:rsidR="4C89A588" w:rsidRPr="003B1C6D">
        <w:rPr>
          <w:rFonts w:ascii="Verdana" w:hAnsi="Verdana"/>
        </w:rPr>
        <w:t>specific priorities</w:t>
      </w:r>
      <w:r w:rsidR="00B0165A" w:rsidRPr="003B1C6D">
        <w:rPr>
          <w:rFonts w:ascii="Verdana" w:hAnsi="Verdana"/>
        </w:rPr>
        <w:t xml:space="preserve"> supporting local, regional and national skills agendas</w:t>
      </w:r>
      <w:r w:rsidR="005B1418" w:rsidRPr="003B1C6D">
        <w:rPr>
          <w:rFonts w:ascii="Verdana" w:hAnsi="Verdana"/>
        </w:rPr>
        <w:t>.</w:t>
      </w:r>
      <w:r w:rsidRPr="003B1C6D">
        <w:rPr>
          <w:rFonts w:ascii="Verdana" w:hAnsi="Verdana"/>
        </w:rPr>
        <w:t xml:space="preserve"> </w:t>
      </w:r>
    </w:p>
    <w:p w14:paraId="23DE523C" w14:textId="77777777" w:rsidR="00C03491" w:rsidRPr="003B1C6D" w:rsidRDefault="00C03491" w:rsidP="007812EE">
      <w:pPr>
        <w:spacing w:after="0" w:line="240" w:lineRule="auto"/>
        <w:rPr>
          <w:rFonts w:ascii="Verdana" w:hAnsi="Verdana"/>
        </w:rPr>
      </w:pPr>
    </w:p>
    <w:p w14:paraId="13F0D032" w14:textId="4BE6A689" w:rsidR="00416F53" w:rsidRPr="003B1C6D" w:rsidRDefault="00C03491" w:rsidP="007812EE">
      <w:pPr>
        <w:spacing w:after="0" w:line="240" w:lineRule="auto"/>
        <w:ind w:left="720" w:hanging="14"/>
        <w:rPr>
          <w:rFonts w:ascii="Verdana" w:hAnsi="Verdana"/>
        </w:rPr>
      </w:pPr>
      <w:r w:rsidRPr="003B1C6D">
        <w:rPr>
          <w:rFonts w:ascii="Verdana" w:hAnsi="Verdana"/>
        </w:rPr>
        <w:t>All sub-cont</w:t>
      </w:r>
      <w:r w:rsidR="00057453" w:rsidRPr="003B1C6D">
        <w:rPr>
          <w:rFonts w:ascii="Verdana" w:hAnsi="Verdana"/>
        </w:rPr>
        <w:t>ractors will be subject to the C</w:t>
      </w:r>
      <w:r w:rsidRPr="003B1C6D">
        <w:rPr>
          <w:rFonts w:ascii="Verdana" w:hAnsi="Verdana"/>
        </w:rPr>
        <w:t>ollege due diligence process.</w:t>
      </w:r>
      <w:r w:rsidR="00416F53" w:rsidRPr="003B1C6D">
        <w:rPr>
          <w:rFonts w:ascii="Verdana" w:hAnsi="Verdana"/>
        </w:rPr>
        <w:t xml:space="preserve">  Successful sub-contractors become part of the College’s Work Based Learning Delivery Team and are referred to by the College as External Delivery Partners.</w:t>
      </w:r>
    </w:p>
    <w:p w14:paraId="07547A01" w14:textId="77777777" w:rsidR="005C553B" w:rsidRPr="005C553B" w:rsidRDefault="005C553B" w:rsidP="007812EE">
      <w:pPr>
        <w:spacing w:after="0" w:line="240" w:lineRule="auto"/>
        <w:rPr>
          <w:rFonts w:ascii="Verdana" w:hAnsi="Verdana"/>
        </w:rPr>
      </w:pPr>
    </w:p>
    <w:p w14:paraId="1B410682" w14:textId="77777777" w:rsidR="00C03491" w:rsidRPr="006C2EB1" w:rsidRDefault="005C553B" w:rsidP="007812EE">
      <w:pPr>
        <w:pStyle w:val="Heading1"/>
        <w:spacing w:before="0" w:line="240" w:lineRule="auto"/>
        <w:ind w:left="709" w:hanging="709"/>
        <w:rPr>
          <w:rFonts w:ascii="Verdana" w:hAnsi="Verdana"/>
          <w:color w:val="auto"/>
          <w:sz w:val="28"/>
          <w:szCs w:val="28"/>
        </w:rPr>
      </w:pPr>
      <w:r w:rsidRPr="006C2EB1">
        <w:rPr>
          <w:rFonts w:ascii="Verdana" w:hAnsi="Verdana"/>
          <w:color w:val="auto"/>
          <w:sz w:val="28"/>
          <w:szCs w:val="28"/>
        </w:rPr>
        <w:t>4.</w:t>
      </w:r>
      <w:r w:rsidRPr="006C2EB1">
        <w:rPr>
          <w:rFonts w:ascii="Verdana" w:hAnsi="Verdana"/>
          <w:color w:val="auto"/>
          <w:sz w:val="28"/>
          <w:szCs w:val="28"/>
        </w:rPr>
        <w:tab/>
        <w:t>Quality A</w:t>
      </w:r>
      <w:r w:rsidR="00C03491" w:rsidRPr="006C2EB1">
        <w:rPr>
          <w:rFonts w:ascii="Verdana" w:hAnsi="Verdana"/>
          <w:color w:val="auto"/>
          <w:sz w:val="28"/>
          <w:szCs w:val="28"/>
        </w:rPr>
        <w:t xml:space="preserve">ssurance and </w:t>
      </w:r>
      <w:r w:rsidRPr="006C2EB1">
        <w:rPr>
          <w:rFonts w:ascii="Verdana" w:hAnsi="Verdana"/>
          <w:color w:val="auto"/>
          <w:sz w:val="28"/>
          <w:szCs w:val="28"/>
        </w:rPr>
        <w:t>S</w:t>
      </w:r>
      <w:r w:rsidR="00C03491" w:rsidRPr="006C2EB1">
        <w:rPr>
          <w:rFonts w:ascii="Verdana" w:hAnsi="Verdana"/>
          <w:color w:val="auto"/>
          <w:sz w:val="28"/>
          <w:szCs w:val="28"/>
        </w:rPr>
        <w:t xml:space="preserve">upport </w:t>
      </w:r>
      <w:r w:rsidRPr="006C2EB1">
        <w:rPr>
          <w:rFonts w:ascii="Verdana" w:hAnsi="Verdana"/>
          <w:color w:val="auto"/>
          <w:sz w:val="28"/>
          <w:szCs w:val="28"/>
        </w:rPr>
        <w:t>P</w:t>
      </w:r>
      <w:r w:rsidR="00C03491" w:rsidRPr="006C2EB1">
        <w:rPr>
          <w:rFonts w:ascii="Verdana" w:hAnsi="Verdana"/>
          <w:color w:val="auto"/>
          <w:sz w:val="28"/>
          <w:szCs w:val="28"/>
        </w:rPr>
        <w:t xml:space="preserve">rovided to </w:t>
      </w:r>
      <w:r w:rsidRPr="006C2EB1">
        <w:rPr>
          <w:rFonts w:ascii="Verdana" w:hAnsi="Verdana"/>
          <w:color w:val="auto"/>
          <w:sz w:val="28"/>
          <w:szCs w:val="28"/>
        </w:rPr>
        <w:t>S</w:t>
      </w:r>
      <w:r w:rsidR="00C03491" w:rsidRPr="006C2EB1">
        <w:rPr>
          <w:rFonts w:ascii="Verdana" w:hAnsi="Verdana"/>
          <w:color w:val="auto"/>
          <w:sz w:val="28"/>
          <w:szCs w:val="28"/>
        </w:rPr>
        <w:t>ub-</w:t>
      </w:r>
      <w:r w:rsidRPr="006C2EB1">
        <w:rPr>
          <w:rFonts w:ascii="Verdana" w:hAnsi="Verdana"/>
          <w:color w:val="auto"/>
          <w:sz w:val="28"/>
          <w:szCs w:val="28"/>
        </w:rPr>
        <w:t>C</w:t>
      </w:r>
      <w:r w:rsidR="00C03491" w:rsidRPr="006C2EB1">
        <w:rPr>
          <w:rFonts w:ascii="Verdana" w:hAnsi="Verdana"/>
          <w:color w:val="auto"/>
          <w:sz w:val="28"/>
          <w:szCs w:val="28"/>
        </w:rPr>
        <w:t xml:space="preserve">ontractors </w:t>
      </w:r>
    </w:p>
    <w:p w14:paraId="5043CB0F" w14:textId="77777777" w:rsidR="005C553B" w:rsidRDefault="005C553B" w:rsidP="007812EE">
      <w:pPr>
        <w:spacing w:after="0" w:line="240" w:lineRule="auto"/>
        <w:rPr>
          <w:rFonts w:ascii="Verdana" w:hAnsi="Verdana"/>
        </w:rPr>
      </w:pPr>
    </w:p>
    <w:p w14:paraId="77F2BB1C" w14:textId="7CB04503" w:rsidR="00C03491" w:rsidRPr="003B1C6D" w:rsidRDefault="00C03491" w:rsidP="007812EE">
      <w:pPr>
        <w:spacing w:after="0" w:line="240" w:lineRule="auto"/>
        <w:ind w:left="720"/>
        <w:rPr>
          <w:rFonts w:ascii="Verdana" w:hAnsi="Verdana"/>
        </w:rPr>
      </w:pPr>
      <w:r w:rsidRPr="003B1C6D">
        <w:rPr>
          <w:rFonts w:ascii="Verdana" w:hAnsi="Verdana"/>
        </w:rPr>
        <w:t xml:space="preserve">The quality of sub-contract provision is carefully monitored and managed through existing college quality assurance processes and procedures. </w:t>
      </w:r>
      <w:r w:rsidR="00870C02" w:rsidRPr="003B1C6D">
        <w:rPr>
          <w:rFonts w:ascii="Verdana" w:hAnsi="Verdana"/>
        </w:rPr>
        <w:t xml:space="preserve"> </w:t>
      </w:r>
      <w:r w:rsidR="725EAE6D" w:rsidRPr="003B1C6D">
        <w:rPr>
          <w:rFonts w:ascii="Verdana" w:hAnsi="Verdana"/>
        </w:rPr>
        <w:t>Sub-contractors</w:t>
      </w:r>
      <w:r w:rsidR="00870C02" w:rsidRPr="003B1C6D">
        <w:rPr>
          <w:rFonts w:ascii="Verdana" w:hAnsi="Verdana"/>
        </w:rPr>
        <w:t xml:space="preserve"> are included in </w:t>
      </w:r>
      <w:r w:rsidR="00416F53" w:rsidRPr="003B1C6D">
        <w:rPr>
          <w:rFonts w:ascii="Verdana" w:hAnsi="Verdana"/>
        </w:rPr>
        <w:t xml:space="preserve">the </w:t>
      </w:r>
      <w:r w:rsidR="00870C02" w:rsidRPr="003B1C6D">
        <w:rPr>
          <w:rFonts w:ascii="Verdana" w:hAnsi="Verdana"/>
        </w:rPr>
        <w:t>College</w:t>
      </w:r>
      <w:r w:rsidR="00416F53" w:rsidRPr="003B1C6D">
        <w:rPr>
          <w:rFonts w:ascii="Verdana" w:hAnsi="Verdana"/>
        </w:rPr>
        <w:t>’s</w:t>
      </w:r>
      <w:r w:rsidR="00870C02" w:rsidRPr="003B1C6D">
        <w:rPr>
          <w:rFonts w:ascii="Verdana" w:hAnsi="Verdana"/>
        </w:rPr>
        <w:t xml:space="preserve"> </w:t>
      </w:r>
      <w:r w:rsidR="00416F53" w:rsidRPr="003B1C6D">
        <w:rPr>
          <w:rFonts w:ascii="Verdana" w:hAnsi="Verdana"/>
        </w:rPr>
        <w:t xml:space="preserve">WBL </w:t>
      </w:r>
      <w:r w:rsidR="00A47DE2" w:rsidRPr="003B1C6D">
        <w:rPr>
          <w:rFonts w:ascii="Verdana" w:hAnsi="Verdana"/>
        </w:rPr>
        <w:t>Quality</w:t>
      </w:r>
      <w:r w:rsidR="007836AD" w:rsidRPr="003B1C6D">
        <w:rPr>
          <w:rFonts w:ascii="Verdana" w:hAnsi="Verdana"/>
        </w:rPr>
        <w:t xml:space="preserve"> </w:t>
      </w:r>
      <w:r w:rsidR="00416F53" w:rsidRPr="003B1C6D">
        <w:rPr>
          <w:rFonts w:ascii="Verdana" w:hAnsi="Verdana"/>
        </w:rPr>
        <w:t>meetings</w:t>
      </w:r>
      <w:r w:rsidR="007836AD" w:rsidRPr="003B1C6D">
        <w:rPr>
          <w:rFonts w:ascii="Verdana" w:hAnsi="Verdana"/>
        </w:rPr>
        <w:t xml:space="preserve"> </w:t>
      </w:r>
      <w:r w:rsidR="00416F53" w:rsidRPr="003B1C6D">
        <w:rPr>
          <w:rFonts w:ascii="Verdana" w:hAnsi="Verdana"/>
        </w:rPr>
        <w:t>along with all delivery partners</w:t>
      </w:r>
      <w:r w:rsidR="00870C02" w:rsidRPr="003B1C6D">
        <w:rPr>
          <w:rFonts w:ascii="Verdana" w:hAnsi="Verdana"/>
        </w:rPr>
        <w:t xml:space="preserve"> and are subject to regular contract review meetings.  </w:t>
      </w:r>
      <w:r w:rsidR="00057453" w:rsidRPr="003B1C6D">
        <w:rPr>
          <w:rFonts w:ascii="Verdana" w:hAnsi="Verdana"/>
        </w:rPr>
        <w:t>The C</w:t>
      </w:r>
      <w:r w:rsidRPr="003B1C6D">
        <w:rPr>
          <w:rFonts w:ascii="Verdana" w:hAnsi="Verdana"/>
        </w:rPr>
        <w:t>ollege provides training for sub</w:t>
      </w:r>
      <w:r w:rsidR="00057453" w:rsidRPr="003B1C6D">
        <w:rPr>
          <w:rFonts w:ascii="Verdana" w:hAnsi="Verdana"/>
        </w:rPr>
        <w:t>-</w:t>
      </w:r>
      <w:r w:rsidRPr="003B1C6D">
        <w:rPr>
          <w:rFonts w:ascii="Verdana" w:hAnsi="Verdana"/>
        </w:rPr>
        <w:t xml:space="preserve">contractor staff including but not limited to: </w:t>
      </w:r>
    </w:p>
    <w:p w14:paraId="07459315" w14:textId="77777777" w:rsidR="005C553B" w:rsidRPr="00F86CA9" w:rsidRDefault="005C553B" w:rsidP="007812EE">
      <w:pPr>
        <w:spacing w:after="0" w:line="240" w:lineRule="auto"/>
        <w:ind w:left="720"/>
        <w:rPr>
          <w:rFonts w:ascii="Verdana" w:hAnsi="Verdana"/>
        </w:rPr>
      </w:pPr>
    </w:p>
    <w:p w14:paraId="0BD480A8" w14:textId="77777777"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The contract and funding body requirements </w:t>
      </w:r>
    </w:p>
    <w:p w14:paraId="51A1A71E" w14:textId="77777777"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Professional training and development for partner staff </w:t>
      </w:r>
    </w:p>
    <w:p w14:paraId="52AD1DE1" w14:textId="28AB2F40" w:rsidR="2995AAAA" w:rsidRPr="00F86CA9" w:rsidRDefault="00585FEB" w:rsidP="00F46941">
      <w:pPr>
        <w:pStyle w:val="ListParagraph"/>
        <w:numPr>
          <w:ilvl w:val="0"/>
          <w:numId w:val="5"/>
        </w:numPr>
        <w:spacing w:after="0" w:line="240" w:lineRule="auto"/>
        <w:rPr>
          <w:rFonts w:eastAsiaTheme="minorEastAsia"/>
        </w:rPr>
      </w:pPr>
      <w:r w:rsidRPr="00F86CA9">
        <w:rPr>
          <w:rFonts w:ascii="Verdana" w:hAnsi="Verdana"/>
        </w:rPr>
        <w:t>Use of e-</w:t>
      </w:r>
      <w:r w:rsidR="799E7D28" w:rsidRPr="00F86CA9">
        <w:rPr>
          <w:rFonts w:ascii="Verdana" w:hAnsi="Verdana"/>
        </w:rPr>
        <w:t xml:space="preserve">portfolio </w:t>
      </w:r>
      <w:r w:rsidR="005B1418" w:rsidRPr="00F86CA9">
        <w:rPr>
          <w:rFonts w:ascii="Verdana" w:hAnsi="Verdana"/>
        </w:rPr>
        <w:t>and e-</w:t>
      </w:r>
      <w:r w:rsidR="799E7D28" w:rsidRPr="00F86CA9">
        <w:rPr>
          <w:rFonts w:ascii="Verdana" w:hAnsi="Verdana"/>
        </w:rPr>
        <w:t>management information systems</w:t>
      </w:r>
    </w:p>
    <w:p w14:paraId="13AA569B" w14:textId="726B3A8D"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Access to learning resources and materials </w:t>
      </w:r>
      <w:r w:rsidR="0B395C10" w:rsidRPr="00F86CA9">
        <w:rPr>
          <w:rFonts w:ascii="Verdana" w:hAnsi="Verdana"/>
        </w:rPr>
        <w:t xml:space="preserve">including access to </w:t>
      </w:r>
      <w:r w:rsidR="004C527F">
        <w:rPr>
          <w:rFonts w:ascii="Verdana" w:hAnsi="Verdana"/>
        </w:rPr>
        <w:t>C</w:t>
      </w:r>
      <w:r w:rsidR="0B395C10" w:rsidRPr="00F86CA9">
        <w:rPr>
          <w:rFonts w:ascii="Verdana" w:hAnsi="Verdana"/>
        </w:rPr>
        <w:t>ollege library and wellbeing support services</w:t>
      </w:r>
    </w:p>
    <w:p w14:paraId="70B5592A" w14:textId="1888F125" w:rsidR="00C03491" w:rsidRPr="00F86CA9" w:rsidRDefault="00057453" w:rsidP="00F46941">
      <w:pPr>
        <w:pStyle w:val="ListParagraph"/>
        <w:numPr>
          <w:ilvl w:val="0"/>
          <w:numId w:val="5"/>
        </w:numPr>
        <w:spacing w:after="0" w:line="240" w:lineRule="auto"/>
        <w:rPr>
          <w:rFonts w:eastAsiaTheme="minorEastAsia"/>
        </w:rPr>
      </w:pPr>
      <w:r>
        <w:rPr>
          <w:rFonts w:ascii="Verdana" w:hAnsi="Verdana"/>
        </w:rPr>
        <w:lastRenderedPageBreak/>
        <w:t>Participation in the C</w:t>
      </w:r>
      <w:r w:rsidR="00C03491" w:rsidRPr="00F86CA9">
        <w:rPr>
          <w:rFonts w:ascii="Verdana" w:hAnsi="Verdana"/>
        </w:rPr>
        <w:t xml:space="preserve">ollege’s observation of teaching, learning and assessment process </w:t>
      </w:r>
    </w:p>
    <w:p w14:paraId="12B74B60" w14:textId="4DCD69F2" w:rsidR="00C03491" w:rsidRPr="00F86CA9" w:rsidRDefault="00C03491" w:rsidP="00F46941">
      <w:pPr>
        <w:pStyle w:val="ListParagraph"/>
        <w:numPr>
          <w:ilvl w:val="0"/>
          <w:numId w:val="5"/>
        </w:numPr>
        <w:spacing w:after="0" w:line="240" w:lineRule="auto"/>
        <w:rPr>
          <w:rFonts w:eastAsiaTheme="minorEastAsia"/>
        </w:rPr>
      </w:pPr>
      <w:r w:rsidRPr="00F86CA9">
        <w:rPr>
          <w:rFonts w:ascii="Verdana" w:hAnsi="Verdana"/>
        </w:rPr>
        <w:t xml:space="preserve">Participation in the </w:t>
      </w:r>
      <w:r w:rsidR="004C527F">
        <w:rPr>
          <w:rFonts w:ascii="Verdana" w:hAnsi="Verdana"/>
        </w:rPr>
        <w:t>C</w:t>
      </w:r>
      <w:r w:rsidRPr="00F86CA9">
        <w:rPr>
          <w:rFonts w:ascii="Verdana" w:hAnsi="Verdana"/>
        </w:rPr>
        <w:t>ollege self-assessment process</w:t>
      </w:r>
      <w:r w:rsidR="00057453">
        <w:rPr>
          <w:rFonts w:ascii="Verdana" w:hAnsi="Verdana"/>
        </w:rPr>
        <w:t xml:space="preserve"> and C</w:t>
      </w:r>
      <w:r w:rsidR="22DE5C70" w:rsidRPr="00F86CA9">
        <w:rPr>
          <w:rFonts w:ascii="Verdana" w:hAnsi="Verdana"/>
        </w:rPr>
        <w:t>ollege annual WBL conferences and apprenticeship award ceremonies</w:t>
      </w:r>
    </w:p>
    <w:p w14:paraId="069800B0" w14:textId="7859C2D2" w:rsidR="00C03491" w:rsidRPr="00F86CA9" w:rsidRDefault="00C03491" w:rsidP="00585FEB">
      <w:pPr>
        <w:pStyle w:val="ListParagraph"/>
        <w:numPr>
          <w:ilvl w:val="0"/>
          <w:numId w:val="2"/>
        </w:numPr>
        <w:spacing w:after="0" w:line="240" w:lineRule="auto"/>
        <w:ind w:left="1080"/>
        <w:rPr>
          <w:rFonts w:eastAsiaTheme="minorEastAsia"/>
        </w:rPr>
      </w:pPr>
      <w:r w:rsidRPr="00F86CA9">
        <w:rPr>
          <w:rFonts w:ascii="Verdana" w:hAnsi="Verdana"/>
        </w:rPr>
        <w:t>Access to a range of in-house training deli</w:t>
      </w:r>
      <w:r w:rsidR="00057453">
        <w:rPr>
          <w:rFonts w:ascii="Verdana" w:hAnsi="Verdana"/>
        </w:rPr>
        <w:t xml:space="preserve">vered by the </w:t>
      </w:r>
      <w:r w:rsidR="004C527F">
        <w:rPr>
          <w:rFonts w:ascii="Verdana" w:hAnsi="Verdana"/>
        </w:rPr>
        <w:t>C</w:t>
      </w:r>
      <w:r w:rsidR="00057453">
        <w:rPr>
          <w:rFonts w:ascii="Verdana" w:hAnsi="Verdana"/>
        </w:rPr>
        <w:t xml:space="preserve">ollege </w:t>
      </w:r>
      <w:proofErr w:type="spellStart"/>
      <w:r w:rsidR="00057453">
        <w:rPr>
          <w:rFonts w:ascii="Verdana" w:hAnsi="Verdana"/>
        </w:rPr>
        <w:t>eg</w:t>
      </w:r>
      <w:proofErr w:type="spellEnd"/>
      <w:r w:rsidRPr="00F86CA9">
        <w:rPr>
          <w:rFonts w:ascii="Verdana" w:hAnsi="Verdana"/>
        </w:rPr>
        <w:t xml:space="preserve"> </w:t>
      </w:r>
      <w:proofErr w:type="spellStart"/>
      <w:r w:rsidRPr="00F86CA9">
        <w:rPr>
          <w:rFonts w:ascii="Verdana" w:hAnsi="Verdana"/>
        </w:rPr>
        <w:t>S</w:t>
      </w:r>
      <w:r w:rsidR="00C54265">
        <w:rPr>
          <w:rFonts w:ascii="Verdana" w:hAnsi="Verdana"/>
        </w:rPr>
        <w:t xml:space="preserve">elf </w:t>
      </w:r>
      <w:r w:rsidRPr="00F86CA9">
        <w:rPr>
          <w:rFonts w:ascii="Verdana" w:hAnsi="Verdana"/>
        </w:rPr>
        <w:t>A</w:t>
      </w:r>
      <w:r w:rsidR="00C54265">
        <w:rPr>
          <w:rFonts w:ascii="Verdana" w:hAnsi="Verdana"/>
        </w:rPr>
        <w:t>ssessment</w:t>
      </w:r>
      <w:proofErr w:type="spellEnd"/>
      <w:r w:rsidR="00C54265">
        <w:rPr>
          <w:rFonts w:ascii="Verdana" w:hAnsi="Verdana"/>
        </w:rPr>
        <w:t xml:space="preserve"> </w:t>
      </w:r>
      <w:r w:rsidRPr="00F86CA9">
        <w:rPr>
          <w:rFonts w:ascii="Verdana" w:hAnsi="Verdana"/>
        </w:rPr>
        <w:t>R</w:t>
      </w:r>
      <w:r w:rsidR="00C54265">
        <w:rPr>
          <w:rFonts w:ascii="Verdana" w:hAnsi="Verdana"/>
        </w:rPr>
        <w:t>eport (SAR)</w:t>
      </w:r>
      <w:r w:rsidRPr="00F86CA9">
        <w:rPr>
          <w:rFonts w:ascii="Verdana" w:hAnsi="Verdana"/>
        </w:rPr>
        <w:t xml:space="preserve"> training</w:t>
      </w:r>
      <w:r w:rsidR="00F46941" w:rsidRPr="00F86CA9">
        <w:rPr>
          <w:rFonts w:ascii="Verdana" w:hAnsi="Verdana"/>
        </w:rPr>
        <w:t xml:space="preserve"> </w:t>
      </w:r>
      <w:r w:rsidR="00585FEB" w:rsidRPr="00F86CA9">
        <w:rPr>
          <w:rFonts w:ascii="Verdana" w:hAnsi="Verdana"/>
        </w:rPr>
        <w:t>and</w:t>
      </w:r>
      <w:r w:rsidR="089FB526" w:rsidRPr="00F86CA9">
        <w:rPr>
          <w:rFonts w:ascii="Verdana" w:hAnsi="Verdana"/>
        </w:rPr>
        <w:t xml:space="preserve"> Smart Assessor training</w:t>
      </w:r>
    </w:p>
    <w:p w14:paraId="63C0EBC4" w14:textId="206B09C5" w:rsidR="00C03491" w:rsidRPr="00F46941" w:rsidRDefault="00585FEB" w:rsidP="00585FEB">
      <w:pPr>
        <w:pStyle w:val="ListParagraph"/>
        <w:numPr>
          <w:ilvl w:val="0"/>
          <w:numId w:val="2"/>
        </w:numPr>
        <w:tabs>
          <w:tab w:val="left" w:pos="851"/>
        </w:tabs>
        <w:spacing w:after="0" w:line="240" w:lineRule="auto"/>
        <w:ind w:left="1080"/>
        <w:rPr>
          <w:rFonts w:eastAsiaTheme="minorEastAsia"/>
        </w:rPr>
      </w:pPr>
      <w:r>
        <w:rPr>
          <w:rFonts w:ascii="Verdana" w:hAnsi="Verdana"/>
        </w:rPr>
        <w:tab/>
      </w:r>
      <w:r w:rsidR="00C03491" w:rsidRPr="00F46941">
        <w:rPr>
          <w:rFonts w:ascii="Verdana" w:hAnsi="Verdana"/>
        </w:rPr>
        <w:t>Monitoring of initial guidance, assessment, delivery of l</w:t>
      </w:r>
      <w:r w:rsidR="006D0BF7" w:rsidRPr="00F46941">
        <w:rPr>
          <w:rFonts w:ascii="Verdana" w:hAnsi="Verdana"/>
        </w:rPr>
        <w:t xml:space="preserve">earning programs and associated </w:t>
      </w:r>
      <w:r w:rsidR="00C03491" w:rsidRPr="00F46941">
        <w:rPr>
          <w:rFonts w:ascii="Verdana" w:hAnsi="Verdana"/>
        </w:rPr>
        <w:t>targets.</w:t>
      </w:r>
    </w:p>
    <w:p w14:paraId="7441E9F0" w14:textId="77777777" w:rsidR="00C03491" w:rsidRPr="005C553B" w:rsidRDefault="00C03491" w:rsidP="2995AAAA">
      <w:pPr>
        <w:tabs>
          <w:tab w:val="left" w:pos="851"/>
        </w:tabs>
        <w:spacing w:after="0" w:line="240" w:lineRule="auto"/>
        <w:ind w:left="360"/>
        <w:rPr>
          <w:rFonts w:ascii="Verdana" w:hAnsi="Verdana"/>
        </w:rPr>
      </w:pPr>
      <w:r w:rsidRPr="005C553B">
        <w:rPr>
          <w:rFonts w:ascii="Verdana" w:hAnsi="Verdana"/>
        </w:rPr>
        <w:t xml:space="preserve"> </w:t>
      </w:r>
    </w:p>
    <w:p w14:paraId="46D971BD" w14:textId="7C22C082" w:rsidR="00C03491" w:rsidRPr="005C553B" w:rsidRDefault="00C03491" w:rsidP="00CC51A8">
      <w:pPr>
        <w:spacing w:after="0" w:line="240" w:lineRule="auto"/>
        <w:ind w:left="720" w:hanging="14"/>
        <w:rPr>
          <w:rFonts w:ascii="Verdana" w:hAnsi="Verdana"/>
        </w:rPr>
      </w:pPr>
      <w:r w:rsidRPr="2995AAAA">
        <w:rPr>
          <w:rFonts w:ascii="Verdana" w:hAnsi="Verdana"/>
        </w:rPr>
        <w:t xml:space="preserve">College staff will </w:t>
      </w:r>
      <w:r w:rsidR="6A8B7ABD" w:rsidRPr="2995AAAA">
        <w:rPr>
          <w:rFonts w:ascii="Verdana" w:hAnsi="Verdana"/>
        </w:rPr>
        <w:t>meet</w:t>
      </w:r>
      <w:r w:rsidRPr="2995AAAA">
        <w:rPr>
          <w:rFonts w:ascii="Verdana" w:hAnsi="Verdana"/>
        </w:rPr>
        <w:t xml:space="preserve"> sub-contractors regularly and will provide curriculum planning advice and funding updates. Quality audits will be completed and feedback provided with priority being given to new providers or providers where there has been an identified concern regarding their performance. Support sessions on areas such as equality and diversity, data recording, </w:t>
      </w:r>
      <w:r w:rsidR="00870C02" w:rsidRPr="2995AAAA">
        <w:rPr>
          <w:rFonts w:ascii="Verdana" w:hAnsi="Verdana"/>
        </w:rPr>
        <w:t xml:space="preserve">safeguarding, functional/essential skills, </w:t>
      </w:r>
      <w:r w:rsidRPr="2995AAAA">
        <w:rPr>
          <w:rFonts w:ascii="Verdana" w:hAnsi="Verdana"/>
        </w:rPr>
        <w:t>legislative compliance and the Inspection Framework</w:t>
      </w:r>
      <w:r w:rsidR="00B0165A" w:rsidRPr="2995AAAA">
        <w:rPr>
          <w:rFonts w:ascii="Verdana" w:hAnsi="Verdana"/>
        </w:rPr>
        <w:t>s of both Estyn and Ofsted</w:t>
      </w:r>
      <w:r w:rsidRPr="2995AAAA">
        <w:rPr>
          <w:rFonts w:ascii="Verdana" w:hAnsi="Verdana"/>
        </w:rPr>
        <w:t xml:space="preserve"> will be provided on request or as a group activity. </w:t>
      </w:r>
    </w:p>
    <w:p w14:paraId="6537F28F" w14:textId="77777777" w:rsidR="005C553B" w:rsidRDefault="005C553B" w:rsidP="005C553B">
      <w:pPr>
        <w:spacing w:after="0" w:line="240" w:lineRule="auto"/>
        <w:rPr>
          <w:rFonts w:ascii="Verdana" w:hAnsi="Verdana"/>
        </w:rPr>
      </w:pPr>
    </w:p>
    <w:p w14:paraId="0252D969" w14:textId="5316BFE3" w:rsidR="00C03491" w:rsidRPr="005C553B" w:rsidRDefault="00C03491" w:rsidP="005C553B">
      <w:pPr>
        <w:spacing w:after="0" w:line="240" w:lineRule="auto"/>
        <w:ind w:left="720" w:hanging="14"/>
        <w:rPr>
          <w:rFonts w:ascii="Verdana" w:hAnsi="Verdana"/>
        </w:rPr>
      </w:pPr>
      <w:r w:rsidRPr="005C553B">
        <w:rPr>
          <w:rFonts w:ascii="Verdana" w:hAnsi="Verdana"/>
        </w:rPr>
        <w:t xml:space="preserve">Support is provided to sub-contractors through close monitoring and tracking of learner progress using </w:t>
      </w:r>
      <w:r w:rsidR="004C527F">
        <w:rPr>
          <w:rFonts w:ascii="Verdana" w:hAnsi="Verdana"/>
        </w:rPr>
        <w:t>C</w:t>
      </w:r>
      <w:r w:rsidRPr="005C553B">
        <w:rPr>
          <w:rFonts w:ascii="Verdana" w:hAnsi="Verdana"/>
        </w:rPr>
        <w:t xml:space="preserve">ollege systems and the continual review of contract performance.  In addition, the </w:t>
      </w:r>
      <w:r w:rsidR="004C527F">
        <w:rPr>
          <w:rFonts w:ascii="Verdana" w:hAnsi="Verdana"/>
        </w:rPr>
        <w:t>C</w:t>
      </w:r>
      <w:r w:rsidRPr="005C553B">
        <w:rPr>
          <w:rFonts w:ascii="Verdana" w:hAnsi="Verdana"/>
        </w:rPr>
        <w:t>ollege supports the sub-contractor in meeting the requirements of the Equality Act, minimising complaints and drop-out rates through a series of direct contacts with both the learners and employers via learner validation calls, employer and learner surveys. The results of this activity are shared openly and monitored to support improvement.</w:t>
      </w:r>
    </w:p>
    <w:p w14:paraId="70DF9E56" w14:textId="77777777" w:rsidR="005C553B" w:rsidRDefault="005C553B" w:rsidP="005C553B">
      <w:pPr>
        <w:spacing w:after="0" w:line="240" w:lineRule="auto"/>
        <w:rPr>
          <w:rFonts w:ascii="Verdana" w:hAnsi="Verdana" w:cs="Arial"/>
          <w:b/>
        </w:rPr>
      </w:pPr>
    </w:p>
    <w:p w14:paraId="039992C2" w14:textId="77777777" w:rsidR="00C03491"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5.</w:t>
      </w:r>
      <w:r w:rsidRPr="006C2EB1">
        <w:rPr>
          <w:rFonts w:ascii="Verdana" w:hAnsi="Verdana"/>
          <w:color w:val="auto"/>
          <w:sz w:val="28"/>
          <w:szCs w:val="28"/>
        </w:rPr>
        <w:tab/>
      </w:r>
      <w:r w:rsidR="00C03491" w:rsidRPr="006C2EB1">
        <w:rPr>
          <w:rFonts w:ascii="Verdana" w:hAnsi="Verdana"/>
          <w:color w:val="auto"/>
          <w:sz w:val="28"/>
          <w:szCs w:val="28"/>
        </w:rPr>
        <w:t xml:space="preserve">Percentage </w:t>
      </w:r>
      <w:r w:rsidRPr="006C2EB1">
        <w:rPr>
          <w:rFonts w:ascii="Verdana" w:hAnsi="Verdana"/>
          <w:color w:val="auto"/>
          <w:sz w:val="28"/>
          <w:szCs w:val="28"/>
        </w:rPr>
        <w:t>R</w:t>
      </w:r>
      <w:r w:rsidR="00C03491" w:rsidRPr="006C2EB1">
        <w:rPr>
          <w:rFonts w:ascii="Verdana" w:hAnsi="Verdana"/>
          <w:color w:val="auto"/>
          <w:sz w:val="28"/>
          <w:szCs w:val="28"/>
        </w:rPr>
        <w:t xml:space="preserve">ange of </w:t>
      </w:r>
      <w:r w:rsidRPr="006C2EB1">
        <w:rPr>
          <w:rFonts w:ascii="Verdana" w:hAnsi="Verdana"/>
          <w:color w:val="auto"/>
          <w:sz w:val="28"/>
          <w:szCs w:val="28"/>
        </w:rPr>
        <w:t>C</w:t>
      </w:r>
      <w:r w:rsidR="00C03491" w:rsidRPr="006C2EB1">
        <w:rPr>
          <w:rFonts w:ascii="Verdana" w:hAnsi="Verdana"/>
          <w:color w:val="auto"/>
          <w:sz w:val="28"/>
          <w:szCs w:val="28"/>
        </w:rPr>
        <w:t xml:space="preserve">harges </w:t>
      </w:r>
    </w:p>
    <w:p w14:paraId="44E871BC" w14:textId="77777777" w:rsidR="005C553B" w:rsidRDefault="005C553B" w:rsidP="005C553B">
      <w:pPr>
        <w:spacing w:after="0" w:line="240" w:lineRule="auto"/>
        <w:rPr>
          <w:rFonts w:ascii="Verdana" w:hAnsi="Verdana"/>
        </w:rPr>
      </w:pPr>
    </w:p>
    <w:p w14:paraId="4F3D3F75" w14:textId="77777777" w:rsidR="00C03491" w:rsidRPr="00F86CA9" w:rsidRDefault="00C03491" w:rsidP="005C553B">
      <w:pPr>
        <w:spacing w:after="0" w:line="240" w:lineRule="auto"/>
        <w:ind w:left="720"/>
        <w:rPr>
          <w:rFonts w:ascii="Verdana" w:hAnsi="Verdana"/>
        </w:rPr>
      </w:pPr>
      <w:r w:rsidRPr="00F86CA9">
        <w:rPr>
          <w:rFonts w:ascii="Verdana" w:hAnsi="Verdana"/>
        </w:rPr>
        <w:t xml:space="preserve">The </w:t>
      </w:r>
      <w:r w:rsidR="005C553B" w:rsidRPr="00F86CA9">
        <w:rPr>
          <w:rFonts w:ascii="Verdana" w:hAnsi="Verdana"/>
        </w:rPr>
        <w:t>C</w:t>
      </w:r>
      <w:r w:rsidRPr="00F86CA9">
        <w:rPr>
          <w:rFonts w:ascii="Verdana" w:hAnsi="Verdana"/>
        </w:rPr>
        <w:t xml:space="preserve">ollege retains a management fee which covers a proportion of the direct costs associated with operating and quality assuring sub-contract provision and which provides a contribution towards indirect costs such as finance, student support, IT and other curriculum support costs. </w:t>
      </w:r>
    </w:p>
    <w:p w14:paraId="144A5D23" w14:textId="77777777" w:rsidR="005C553B" w:rsidRPr="00F86CA9" w:rsidRDefault="005C553B" w:rsidP="005C553B">
      <w:pPr>
        <w:spacing w:after="0" w:line="240" w:lineRule="auto"/>
        <w:rPr>
          <w:rFonts w:ascii="Verdana" w:hAnsi="Verdana"/>
        </w:rPr>
      </w:pPr>
    </w:p>
    <w:p w14:paraId="1B0336A2" w14:textId="79A736DB" w:rsidR="00B96117" w:rsidRPr="00F86CA9" w:rsidRDefault="00C03491" w:rsidP="005C553B">
      <w:pPr>
        <w:spacing w:after="0" w:line="240" w:lineRule="auto"/>
        <w:ind w:left="720"/>
        <w:rPr>
          <w:rFonts w:ascii="Verdana" w:hAnsi="Verdana"/>
        </w:rPr>
      </w:pPr>
      <w:r w:rsidRPr="00F86CA9">
        <w:rPr>
          <w:rFonts w:ascii="Verdana" w:hAnsi="Verdana"/>
        </w:rPr>
        <w:t xml:space="preserve">The typical percentage fee range retained by </w:t>
      </w:r>
      <w:r w:rsidR="00B0165A" w:rsidRPr="00F86CA9">
        <w:rPr>
          <w:rFonts w:ascii="Verdana" w:hAnsi="Verdana"/>
        </w:rPr>
        <w:t xml:space="preserve">the </w:t>
      </w:r>
      <w:r w:rsidR="004C527F">
        <w:rPr>
          <w:rFonts w:ascii="Verdana" w:hAnsi="Verdana"/>
        </w:rPr>
        <w:t>C</w:t>
      </w:r>
      <w:r w:rsidR="00B0165A" w:rsidRPr="00F86CA9">
        <w:rPr>
          <w:rFonts w:ascii="Verdana" w:hAnsi="Verdana"/>
        </w:rPr>
        <w:t>ollege is between 15%</w:t>
      </w:r>
      <w:r w:rsidR="00F46941" w:rsidRPr="00F86CA9">
        <w:rPr>
          <w:rFonts w:ascii="Verdana" w:hAnsi="Verdana"/>
        </w:rPr>
        <w:t xml:space="preserve"> - 20</w:t>
      </w:r>
      <w:r w:rsidR="000D7B0C" w:rsidRPr="00F86CA9">
        <w:rPr>
          <w:rFonts w:ascii="Verdana" w:hAnsi="Verdana"/>
        </w:rPr>
        <w:t>%</w:t>
      </w:r>
      <w:r w:rsidR="00F46941" w:rsidRPr="00F86CA9">
        <w:rPr>
          <w:rFonts w:ascii="Verdana" w:hAnsi="Verdana"/>
        </w:rPr>
        <w:t xml:space="preserve">. </w:t>
      </w:r>
      <w:r w:rsidRPr="00F86CA9">
        <w:rPr>
          <w:rFonts w:ascii="Verdana" w:hAnsi="Verdana"/>
        </w:rPr>
        <w:t xml:space="preserve">The fee rate takes into account the level of capacity and skills of the contractor, and the risk assessed through the due diligence process. </w:t>
      </w:r>
    </w:p>
    <w:p w14:paraId="738610EB" w14:textId="77777777" w:rsidR="00B96117" w:rsidRPr="00F86CA9" w:rsidRDefault="00B96117" w:rsidP="005C553B">
      <w:pPr>
        <w:spacing w:after="0" w:line="240" w:lineRule="auto"/>
        <w:ind w:left="720"/>
        <w:rPr>
          <w:rFonts w:ascii="Verdana" w:hAnsi="Verdana"/>
        </w:rPr>
      </w:pPr>
    </w:p>
    <w:p w14:paraId="637805D2" w14:textId="0A412EE7" w:rsidR="005C553B" w:rsidRPr="00F86CA9" w:rsidRDefault="00F46941" w:rsidP="00F46941">
      <w:pPr>
        <w:spacing w:after="0" w:line="240" w:lineRule="auto"/>
        <w:ind w:left="720"/>
        <w:rPr>
          <w:rFonts w:ascii="Verdana" w:hAnsi="Verdana"/>
        </w:rPr>
      </w:pPr>
      <w:r w:rsidRPr="00F86CA9">
        <w:rPr>
          <w:rFonts w:ascii="Verdana" w:hAnsi="Verdana"/>
        </w:rPr>
        <w:t>I</w:t>
      </w:r>
      <w:r w:rsidR="002D7725" w:rsidRPr="00F86CA9">
        <w:rPr>
          <w:rFonts w:ascii="Verdana" w:hAnsi="Verdana"/>
        </w:rPr>
        <w:t>f the sub-contractor is a</w:t>
      </w:r>
      <w:r w:rsidRPr="00F86CA9">
        <w:rPr>
          <w:rFonts w:ascii="Verdana" w:hAnsi="Verdana"/>
        </w:rPr>
        <w:t xml:space="preserve"> subsidiary</w:t>
      </w:r>
      <w:r w:rsidR="003E799A" w:rsidRPr="00F86CA9">
        <w:rPr>
          <w:rFonts w:ascii="Verdana" w:hAnsi="Verdana"/>
        </w:rPr>
        <w:t xml:space="preserve"> of Gower College Swansea</w:t>
      </w:r>
      <w:r w:rsidR="000C0F90" w:rsidRPr="00F86CA9">
        <w:rPr>
          <w:rFonts w:ascii="Verdana" w:hAnsi="Verdana"/>
        </w:rPr>
        <w:t>,</w:t>
      </w:r>
      <w:r w:rsidR="003E799A" w:rsidRPr="00F86CA9">
        <w:rPr>
          <w:rFonts w:ascii="Verdana" w:hAnsi="Verdana"/>
        </w:rPr>
        <w:t xml:space="preserve"> service charg</w:t>
      </w:r>
      <w:r w:rsidR="00057453">
        <w:rPr>
          <w:rFonts w:ascii="Verdana" w:hAnsi="Verdana"/>
        </w:rPr>
        <w:t>es will be applied through the C</w:t>
      </w:r>
      <w:r w:rsidR="003E799A" w:rsidRPr="00F86CA9">
        <w:rPr>
          <w:rFonts w:ascii="Verdana" w:hAnsi="Verdana"/>
        </w:rPr>
        <w:t>ollege standard annual budgeting process</w:t>
      </w:r>
      <w:r w:rsidR="002D7725" w:rsidRPr="00F86CA9">
        <w:rPr>
          <w:rFonts w:ascii="Verdana" w:hAnsi="Verdana"/>
        </w:rPr>
        <w:t xml:space="preserve">. </w:t>
      </w:r>
      <w:r w:rsidR="000C0F90" w:rsidRPr="00F86CA9">
        <w:rPr>
          <w:rFonts w:ascii="Verdana" w:hAnsi="Verdana"/>
        </w:rPr>
        <w:t>This</w:t>
      </w:r>
      <w:r w:rsidRPr="00F86CA9">
        <w:rPr>
          <w:rFonts w:ascii="Verdana" w:hAnsi="Verdana"/>
        </w:rPr>
        <w:t xml:space="preserve"> reflects the subsidiary</w:t>
      </w:r>
      <w:r w:rsidR="003E799A" w:rsidRPr="00F86CA9">
        <w:rPr>
          <w:rFonts w:ascii="Verdana" w:hAnsi="Verdana"/>
        </w:rPr>
        <w:t xml:space="preserve"> as </w:t>
      </w:r>
      <w:r w:rsidRPr="00F86CA9">
        <w:rPr>
          <w:rFonts w:ascii="Verdana" w:hAnsi="Verdana"/>
        </w:rPr>
        <w:t xml:space="preserve">being </w:t>
      </w:r>
      <w:r w:rsidR="003E799A" w:rsidRPr="00F86CA9">
        <w:rPr>
          <w:rFonts w:ascii="Verdana" w:hAnsi="Verdana"/>
        </w:rPr>
        <w:t xml:space="preserve">an internal business unit of the </w:t>
      </w:r>
      <w:r w:rsidR="004C527F">
        <w:rPr>
          <w:rFonts w:ascii="Verdana" w:hAnsi="Verdana"/>
        </w:rPr>
        <w:t>C</w:t>
      </w:r>
      <w:r w:rsidR="003E799A" w:rsidRPr="00F86CA9">
        <w:rPr>
          <w:rFonts w:ascii="Verdana" w:hAnsi="Verdana"/>
        </w:rPr>
        <w:t>ollege</w:t>
      </w:r>
      <w:r w:rsidR="000C0F90" w:rsidRPr="00F86CA9">
        <w:rPr>
          <w:rFonts w:ascii="Verdana" w:hAnsi="Verdana"/>
        </w:rPr>
        <w:t xml:space="preserve"> and as such,</w:t>
      </w:r>
      <w:r w:rsidR="003E799A" w:rsidRPr="00F86CA9">
        <w:rPr>
          <w:rFonts w:ascii="Verdana" w:hAnsi="Verdana"/>
        </w:rPr>
        <w:t xml:space="preserve"> services such as governance, quality and compliance are charged centrally. </w:t>
      </w:r>
    </w:p>
    <w:p w14:paraId="78B2E541" w14:textId="77777777" w:rsidR="009938E3" w:rsidRDefault="009938E3" w:rsidP="005C553B">
      <w:pPr>
        <w:spacing w:after="0" w:line="240" w:lineRule="auto"/>
        <w:rPr>
          <w:rFonts w:ascii="Verdana" w:hAnsi="Verdana" w:cs="Arial"/>
          <w:b/>
        </w:rPr>
      </w:pPr>
    </w:p>
    <w:p w14:paraId="53941AA0" w14:textId="159E51CC" w:rsidR="00C03491"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6.</w:t>
      </w:r>
      <w:r w:rsidRPr="006C2EB1">
        <w:rPr>
          <w:rFonts w:ascii="Verdana" w:hAnsi="Verdana"/>
          <w:color w:val="auto"/>
          <w:sz w:val="28"/>
          <w:szCs w:val="28"/>
        </w:rPr>
        <w:tab/>
      </w:r>
      <w:r w:rsidR="00C03491" w:rsidRPr="006C2EB1">
        <w:rPr>
          <w:rFonts w:ascii="Verdana" w:hAnsi="Verdana"/>
          <w:color w:val="auto"/>
          <w:sz w:val="28"/>
          <w:szCs w:val="28"/>
        </w:rPr>
        <w:t xml:space="preserve">Payment </w:t>
      </w:r>
      <w:r w:rsidRPr="006C2EB1">
        <w:rPr>
          <w:rFonts w:ascii="Verdana" w:hAnsi="Verdana"/>
          <w:color w:val="auto"/>
          <w:sz w:val="28"/>
          <w:szCs w:val="28"/>
        </w:rPr>
        <w:t>T</w:t>
      </w:r>
      <w:r w:rsidR="00C03491" w:rsidRPr="006C2EB1">
        <w:rPr>
          <w:rFonts w:ascii="Verdana" w:hAnsi="Verdana"/>
          <w:color w:val="auto"/>
          <w:sz w:val="28"/>
          <w:szCs w:val="28"/>
        </w:rPr>
        <w:t xml:space="preserve">erms </w:t>
      </w:r>
    </w:p>
    <w:p w14:paraId="3B7B4B86" w14:textId="77777777" w:rsidR="005C553B" w:rsidRDefault="005C553B" w:rsidP="005C553B">
      <w:pPr>
        <w:spacing w:after="0" w:line="240" w:lineRule="auto"/>
        <w:rPr>
          <w:rFonts w:ascii="Verdana" w:hAnsi="Verdana"/>
        </w:rPr>
      </w:pPr>
    </w:p>
    <w:p w14:paraId="6B2C6870" w14:textId="047C3CD8" w:rsidR="006D0BF7" w:rsidRPr="005C553B" w:rsidRDefault="00C03491" w:rsidP="005C553B">
      <w:pPr>
        <w:spacing w:after="0" w:line="240" w:lineRule="auto"/>
        <w:ind w:left="720"/>
        <w:rPr>
          <w:rFonts w:ascii="Verdana" w:hAnsi="Verdana"/>
        </w:rPr>
      </w:pPr>
      <w:r w:rsidRPr="005C553B">
        <w:rPr>
          <w:rFonts w:ascii="Verdana" w:hAnsi="Verdana"/>
        </w:rPr>
        <w:t xml:space="preserve">The </w:t>
      </w:r>
      <w:r w:rsidR="005C553B">
        <w:rPr>
          <w:rFonts w:ascii="Verdana" w:hAnsi="Verdana"/>
        </w:rPr>
        <w:t>C</w:t>
      </w:r>
      <w:r w:rsidRPr="005C553B">
        <w:rPr>
          <w:rFonts w:ascii="Verdana" w:hAnsi="Verdana"/>
        </w:rPr>
        <w:t xml:space="preserve">ollege will make payment to the sub-contractor within 30 days of receiving a valid claim for payment or invoice. Payments will usually follow the submission of the Individualised Learner Record (ILR) and receipt of the Occupancy Report (Provider Funding Report) by the </w:t>
      </w:r>
      <w:r w:rsidR="00057453">
        <w:rPr>
          <w:rFonts w:ascii="Verdana" w:hAnsi="Verdana"/>
        </w:rPr>
        <w:t>C</w:t>
      </w:r>
      <w:r w:rsidRPr="005C553B">
        <w:rPr>
          <w:rFonts w:ascii="Verdana" w:hAnsi="Verdana"/>
        </w:rPr>
        <w:t xml:space="preserve">ollege. </w:t>
      </w:r>
    </w:p>
    <w:p w14:paraId="3A0FF5F2" w14:textId="77777777" w:rsidR="005C553B" w:rsidRDefault="005C553B" w:rsidP="005C553B">
      <w:pPr>
        <w:spacing w:after="0" w:line="240" w:lineRule="auto"/>
        <w:rPr>
          <w:rFonts w:ascii="Verdana" w:hAnsi="Verdana"/>
        </w:rPr>
      </w:pPr>
    </w:p>
    <w:p w14:paraId="5630AD66" w14:textId="30D75109" w:rsidR="000C0F90" w:rsidRDefault="00C03491" w:rsidP="009938E3">
      <w:pPr>
        <w:spacing w:after="0" w:line="240" w:lineRule="auto"/>
        <w:ind w:left="720"/>
        <w:rPr>
          <w:rFonts w:ascii="Verdana" w:hAnsi="Verdana"/>
        </w:rPr>
      </w:pPr>
      <w:r w:rsidRPr="005C553B">
        <w:rPr>
          <w:rFonts w:ascii="Verdana" w:hAnsi="Verdana"/>
        </w:rPr>
        <w:t>No payment will be made in respect of any learner remaining on programme where there has been no evidence of learning received for a period of 12 weeks.</w:t>
      </w:r>
    </w:p>
    <w:p w14:paraId="4F4C87D5" w14:textId="77777777" w:rsidR="009938E3" w:rsidRDefault="009938E3" w:rsidP="009938E3">
      <w:pPr>
        <w:spacing w:after="0" w:line="240" w:lineRule="auto"/>
        <w:ind w:left="720"/>
        <w:rPr>
          <w:rFonts w:ascii="Verdana" w:hAnsi="Verdana"/>
        </w:rPr>
      </w:pPr>
    </w:p>
    <w:p w14:paraId="198C3B06" w14:textId="77777777" w:rsidR="006D0BF7"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7.</w:t>
      </w:r>
      <w:r w:rsidRPr="006C2EB1">
        <w:rPr>
          <w:rFonts w:ascii="Verdana" w:hAnsi="Verdana"/>
          <w:color w:val="auto"/>
          <w:sz w:val="28"/>
          <w:szCs w:val="28"/>
        </w:rPr>
        <w:tab/>
      </w:r>
      <w:r w:rsidR="00C03491" w:rsidRPr="006C2EB1">
        <w:rPr>
          <w:rFonts w:ascii="Verdana" w:hAnsi="Verdana"/>
          <w:color w:val="auto"/>
          <w:sz w:val="28"/>
          <w:szCs w:val="28"/>
        </w:rPr>
        <w:t xml:space="preserve">Communication of the </w:t>
      </w:r>
      <w:r w:rsidRPr="006C2EB1">
        <w:rPr>
          <w:rFonts w:ascii="Verdana" w:hAnsi="Verdana"/>
          <w:color w:val="auto"/>
          <w:sz w:val="28"/>
          <w:szCs w:val="28"/>
        </w:rPr>
        <w:t>S</w:t>
      </w:r>
      <w:r w:rsidR="00C03491" w:rsidRPr="006C2EB1">
        <w:rPr>
          <w:rFonts w:ascii="Verdana" w:hAnsi="Verdana"/>
          <w:color w:val="auto"/>
          <w:sz w:val="28"/>
          <w:szCs w:val="28"/>
        </w:rPr>
        <w:t xml:space="preserve">upply </w:t>
      </w:r>
      <w:r w:rsidRPr="006C2EB1">
        <w:rPr>
          <w:rFonts w:ascii="Verdana" w:hAnsi="Verdana"/>
          <w:color w:val="auto"/>
          <w:sz w:val="28"/>
          <w:szCs w:val="28"/>
        </w:rPr>
        <w:t>C</w:t>
      </w:r>
      <w:r w:rsidR="00C03491" w:rsidRPr="006C2EB1">
        <w:rPr>
          <w:rFonts w:ascii="Verdana" w:hAnsi="Verdana"/>
          <w:color w:val="auto"/>
          <w:sz w:val="28"/>
          <w:szCs w:val="28"/>
        </w:rPr>
        <w:t xml:space="preserve">hain </w:t>
      </w:r>
      <w:r w:rsidRPr="006C2EB1">
        <w:rPr>
          <w:rFonts w:ascii="Verdana" w:hAnsi="Verdana"/>
          <w:color w:val="auto"/>
          <w:sz w:val="28"/>
          <w:szCs w:val="28"/>
        </w:rPr>
        <w:t>C</w:t>
      </w:r>
      <w:r w:rsidR="00C03491" w:rsidRPr="006C2EB1">
        <w:rPr>
          <w:rFonts w:ascii="Verdana" w:hAnsi="Verdana"/>
          <w:color w:val="auto"/>
          <w:sz w:val="28"/>
          <w:szCs w:val="28"/>
        </w:rPr>
        <w:t xml:space="preserve">harges </w:t>
      </w:r>
      <w:r w:rsidRPr="006C2EB1">
        <w:rPr>
          <w:rFonts w:ascii="Verdana" w:hAnsi="Verdana"/>
          <w:color w:val="auto"/>
          <w:sz w:val="28"/>
          <w:szCs w:val="28"/>
        </w:rPr>
        <w:t>P</w:t>
      </w:r>
      <w:r w:rsidR="00C03491" w:rsidRPr="006C2EB1">
        <w:rPr>
          <w:rFonts w:ascii="Verdana" w:hAnsi="Verdana"/>
          <w:color w:val="auto"/>
          <w:sz w:val="28"/>
          <w:szCs w:val="28"/>
        </w:rPr>
        <w:t xml:space="preserve">olicy </w:t>
      </w:r>
    </w:p>
    <w:p w14:paraId="66204FF1" w14:textId="77777777" w:rsidR="005C553B" w:rsidRDefault="005C553B" w:rsidP="005C553B">
      <w:pPr>
        <w:spacing w:after="0" w:line="240" w:lineRule="auto"/>
        <w:rPr>
          <w:rFonts w:ascii="Verdana" w:hAnsi="Verdana"/>
        </w:rPr>
      </w:pPr>
    </w:p>
    <w:p w14:paraId="16E723A5" w14:textId="7E982951" w:rsidR="006D0BF7" w:rsidRPr="005C553B" w:rsidRDefault="00C03491" w:rsidP="005C553B">
      <w:pPr>
        <w:spacing w:after="0" w:line="240" w:lineRule="auto"/>
        <w:ind w:left="720"/>
        <w:rPr>
          <w:rFonts w:ascii="Verdana" w:hAnsi="Verdana"/>
        </w:rPr>
      </w:pPr>
      <w:r w:rsidRPr="005C553B">
        <w:rPr>
          <w:rFonts w:ascii="Verdana" w:hAnsi="Verdana"/>
        </w:rPr>
        <w:t xml:space="preserve">This policy is published on the </w:t>
      </w:r>
      <w:r w:rsidR="004C527F">
        <w:rPr>
          <w:rFonts w:ascii="Verdana" w:hAnsi="Verdana"/>
        </w:rPr>
        <w:t>C</w:t>
      </w:r>
      <w:r w:rsidRPr="005C553B">
        <w:rPr>
          <w:rFonts w:ascii="Verdana" w:hAnsi="Verdana"/>
        </w:rPr>
        <w:t xml:space="preserve">ollege internet at </w:t>
      </w:r>
      <w:hyperlink r:id="rId11" w:history="1">
        <w:r w:rsidR="00B0165A" w:rsidRPr="005C553B">
          <w:rPr>
            <w:rStyle w:val="Hyperlink"/>
            <w:rFonts w:ascii="Verdana" w:hAnsi="Verdana"/>
          </w:rPr>
          <w:t>https://www.gcs.ac.uk/policies-and-procedures</w:t>
        </w:r>
      </w:hyperlink>
      <w:r w:rsidR="006D0BF7" w:rsidRPr="005C553B">
        <w:rPr>
          <w:rFonts w:ascii="Verdana" w:hAnsi="Verdana"/>
        </w:rPr>
        <w:t xml:space="preserve"> </w:t>
      </w:r>
      <w:r w:rsidRPr="005C553B">
        <w:rPr>
          <w:rFonts w:ascii="Verdana" w:hAnsi="Verdana"/>
        </w:rPr>
        <w:t xml:space="preserve">and can be sent to all sub-contractors on request. </w:t>
      </w:r>
    </w:p>
    <w:p w14:paraId="2DBF0D7D" w14:textId="77777777" w:rsidR="005C553B" w:rsidRDefault="005C553B" w:rsidP="005C553B">
      <w:pPr>
        <w:spacing w:after="0" w:line="240" w:lineRule="auto"/>
        <w:rPr>
          <w:rFonts w:ascii="Verdana" w:hAnsi="Verdana"/>
        </w:rPr>
      </w:pPr>
    </w:p>
    <w:p w14:paraId="421F3E68" w14:textId="496A1EA3" w:rsidR="006D0BF7" w:rsidRPr="00E17110" w:rsidRDefault="00057453" w:rsidP="005C553B">
      <w:pPr>
        <w:spacing w:after="0" w:line="240" w:lineRule="auto"/>
        <w:ind w:left="720"/>
        <w:rPr>
          <w:rFonts w:ascii="Verdana" w:hAnsi="Verdana"/>
        </w:rPr>
      </w:pPr>
      <w:r>
        <w:rPr>
          <w:rFonts w:ascii="Verdana" w:hAnsi="Verdana"/>
        </w:rPr>
        <w:t>The P</w:t>
      </w:r>
      <w:r w:rsidR="00C03491" w:rsidRPr="00E17110">
        <w:rPr>
          <w:rFonts w:ascii="Verdana" w:hAnsi="Verdana"/>
        </w:rPr>
        <w:t xml:space="preserve">olicy is discussed with potential subcontractors during the due diligence and contracting process. </w:t>
      </w:r>
      <w:r w:rsidR="000C0F90" w:rsidRPr="00E17110">
        <w:rPr>
          <w:rFonts w:ascii="Verdana" w:hAnsi="Verdana"/>
        </w:rPr>
        <w:t>For English work</w:t>
      </w:r>
      <w:r>
        <w:rPr>
          <w:rFonts w:ascii="Verdana" w:hAnsi="Verdana"/>
        </w:rPr>
        <w:t xml:space="preserve"> </w:t>
      </w:r>
      <w:r w:rsidR="000C0F90" w:rsidRPr="00E17110">
        <w:rPr>
          <w:rFonts w:ascii="Verdana" w:hAnsi="Verdana"/>
        </w:rPr>
        <w:t>based learning delivery, t</w:t>
      </w:r>
      <w:r>
        <w:rPr>
          <w:rFonts w:ascii="Verdana" w:hAnsi="Verdana"/>
        </w:rPr>
        <w:t>he C</w:t>
      </w:r>
      <w:r w:rsidR="00C03491" w:rsidRPr="00E17110">
        <w:rPr>
          <w:rFonts w:ascii="Verdana" w:hAnsi="Verdana"/>
        </w:rPr>
        <w:t xml:space="preserve">ollege will </w:t>
      </w:r>
      <w:r w:rsidR="00C03491" w:rsidRPr="008236EC">
        <w:rPr>
          <w:rFonts w:ascii="Verdana" w:hAnsi="Verdana"/>
        </w:rPr>
        <w:t xml:space="preserve">submit regular </w:t>
      </w:r>
      <w:r w:rsidR="00A47DE2" w:rsidRPr="008236EC">
        <w:rPr>
          <w:rFonts w:ascii="Verdana" w:hAnsi="Verdana"/>
        </w:rPr>
        <w:t xml:space="preserve">sub-contractor declaration </w:t>
      </w:r>
      <w:r w:rsidR="00C03491" w:rsidRPr="008236EC">
        <w:rPr>
          <w:rFonts w:ascii="Verdana" w:hAnsi="Verdana"/>
        </w:rPr>
        <w:t xml:space="preserve">returns to ESFA and publish </w:t>
      </w:r>
      <w:r w:rsidR="00A47DE2" w:rsidRPr="008236EC">
        <w:rPr>
          <w:rFonts w:ascii="Verdana" w:hAnsi="Verdana"/>
        </w:rPr>
        <w:t xml:space="preserve">details of the </w:t>
      </w:r>
      <w:r w:rsidR="00C03491" w:rsidRPr="008236EC">
        <w:rPr>
          <w:rFonts w:ascii="Verdana" w:hAnsi="Verdana"/>
        </w:rPr>
        <w:t>subcontractor</w:t>
      </w:r>
      <w:r w:rsidR="00A47DE2" w:rsidRPr="008236EC">
        <w:rPr>
          <w:rFonts w:ascii="Verdana" w:hAnsi="Verdana"/>
        </w:rPr>
        <w:t xml:space="preserve"> arrangements</w:t>
      </w:r>
      <w:r w:rsidR="00C03491" w:rsidRPr="008236EC">
        <w:rPr>
          <w:rFonts w:ascii="Verdana" w:hAnsi="Verdana"/>
        </w:rPr>
        <w:t xml:space="preserve"> including:</w:t>
      </w:r>
      <w:r w:rsidR="00C03491" w:rsidRPr="00E17110">
        <w:rPr>
          <w:rFonts w:ascii="Verdana" w:hAnsi="Verdana"/>
        </w:rPr>
        <w:t xml:space="preserve"> </w:t>
      </w:r>
    </w:p>
    <w:p w14:paraId="6B62F1B3" w14:textId="77777777" w:rsidR="005C553B" w:rsidRPr="00E17110" w:rsidRDefault="005C553B" w:rsidP="005C553B">
      <w:pPr>
        <w:spacing w:after="0" w:line="240" w:lineRule="auto"/>
        <w:ind w:left="720"/>
        <w:rPr>
          <w:rFonts w:ascii="Verdana" w:hAnsi="Verdana"/>
        </w:rPr>
      </w:pPr>
    </w:p>
    <w:p w14:paraId="59CBB53C"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Name of sub-contractor</w:t>
      </w:r>
    </w:p>
    <w:p w14:paraId="3AFD8CD3"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UKPRN </w:t>
      </w:r>
    </w:p>
    <w:p w14:paraId="0C00B4EC"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Contract start date and end date </w:t>
      </w:r>
    </w:p>
    <w:p w14:paraId="12D76E8A"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Provision type </w:t>
      </w:r>
    </w:p>
    <w:p w14:paraId="10D6810B"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Funding </w:t>
      </w:r>
    </w:p>
    <w:p w14:paraId="2166D984" w14:textId="1753E8D0" w:rsidR="006D0BF7" w:rsidRPr="00E17110" w:rsidRDefault="00057453" w:rsidP="00CC51A8">
      <w:pPr>
        <w:pStyle w:val="ListParagraph"/>
        <w:numPr>
          <w:ilvl w:val="0"/>
          <w:numId w:val="4"/>
        </w:numPr>
        <w:spacing w:after="0" w:line="240" w:lineRule="auto"/>
        <w:rPr>
          <w:rFonts w:ascii="Verdana" w:hAnsi="Verdana"/>
        </w:rPr>
      </w:pPr>
      <w:r>
        <w:rPr>
          <w:rFonts w:ascii="Verdana" w:hAnsi="Verdana"/>
        </w:rPr>
        <w:t>Total C</w:t>
      </w:r>
      <w:r w:rsidR="00C03491" w:rsidRPr="00E17110">
        <w:rPr>
          <w:rFonts w:ascii="Verdana" w:hAnsi="Verdana"/>
        </w:rPr>
        <w:t xml:space="preserve">ollege income </w:t>
      </w:r>
    </w:p>
    <w:p w14:paraId="66843CA3" w14:textId="77777777" w:rsidR="006D0BF7"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 xml:space="preserve">Total paid to sub-contractor </w:t>
      </w:r>
    </w:p>
    <w:p w14:paraId="4186DAE4" w14:textId="77777777" w:rsidR="000C0F90" w:rsidRPr="00E17110" w:rsidRDefault="00C03491" w:rsidP="00CC51A8">
      <w:pPr>
        <w:pStyle w:val="ListParagraph"/>
        <w:numPr>
          <w:ilvl w:val="0"/>
          <w:numId w:val="4"/>
        </w:numPr>
        <w:spacing w:after="0" w:line="240" w:lineRule="auto"/>
        <w:rPr>
          <w:rFonts w:ascii="Verdana" w:hAnsi="Verdana"/>
        </w:rPr>
      </w:pPr>
      <w:r w:rsidRPr="00E17110">
        <w:rPr>
          <w:rFonts w:ascii="Verdana" w:hAnsi="Verdana"/>
        </w:rPr>
        <w:t>Total retained in the management fee</w:t>
      </w:r>
      <w:r w:rsidR="00CC51A8" w:rsidRPr="00E17110">
        <w:rPr>
          <w:rFonts w:ascii="Verdana" w:hAnsi="Verdana"/>
        </w:rPr>
        <w:t>.</w:t>
      </w:r>
      <w:r w:rsidRPr="00E17110">
        <w:rPr>
          <w:rFonts w:ascii="Verdana" w:hAnsi="Verdana"/>
        </w:rPr>
        <w:t xml:space="preserve"> </w:t>
      </w:r>
    </w:p>
    <w:p w14:paraId="02F2C34E" w14:textId="77777777" w:rsidR="000C0F90" w:rsidRPr="00E17110" w:rsidRDefault="000C0F90" w:rsidP="000C0F90">
      <w:pPr>
        <w:spacing w:after="0" w:line="240" w:lineRule="auto"/>
        <w:ind w:left="993"/>
        <w:rPr>
          <w:rFonts w:ascii="Verdana" w:hAnsi="Verdana"/>
        </w:rPr>
      </w:pPr>
    </w:p>
    <w:p w14:paraId="680A4E5D" w14:textId="0FBB4C25" w:rsidR="006D0BF7" w:rsidRPr="00E17110" w:rsidRDefault="000C0F90" w:rsidP="009938E3">
      <w:pPr>
        <w:spacing w:after="0" w:line="240" w:lineRule="auto"/>
        <w:ind w:left="720"/>
        <w:rPr>
          <w:rFonts w:ascii="Verdana" w:hAnsi="Verdana"/>
        </w:rPr>
      </w:pPr>
      <w:r w:rsidRPr="00E17110">
        <w:rPr>
          <w:rFonts w:ascii="Verdana" w:hAnsi="Verdana"/>
        </w:rPr>
        <w:t>Welsh</w:t>
      </w:r>
      <w:r w:rsidR="00870C02" w:rsidRPr="00E17110">
        <w:rPr>
          <w:rFonts w:ascii="Verdana" w:hAnsi="Verdana"/>
        </w:rPr>
        <w:t xml:space="preserve"> Government do</w:t>
      </w:r>
      <w:r w:rsidR="00CC51A8" w:rsidRPr="00E17110">
        <w:rPr>
          <w:rFonts w:ascii="Verdana" w:hAnsi="Verdana"/>
        </w:rPr>
        <w:t>es</w:t>
      </w:r>
      <w:r w:rsidR="00057453">
        <w:rPr>
          <w:rFonts w:ascii="Verdana" w:hAnsi="Verdana"/>
        </w:rPr>
        <w:t xml:space="preserve"> not require the C</w:t>
      </w:r>
      <w:r w:rsidR="00870C02" w:rsidRPr="00E17110">
        <w:rPr>
          <w:rFonts w:ascii="Verdana" w:hAnsi="Verdana"/>
        </w:rPr>
        <w:t>ollege to submit sub</w:t>
      </w:r>
      <w:r w:rsidR="00CC51A8" w:rsidRPr="00E17110">
        <w:rPr>
          <w:rFonts w:ascii="Verdana" w:hAnsi="Verdana"/>
        </w:rPr>
        <w:t>-</w:t>
      </w:r>
      <w:r w:rsidR="00870C02" w:rsidRPr="00E17110">
        <w:rPr>
          <w:rFonts w:ascii="Verdana" w:hAnsi="Verdana"/>
        </w:rPr>
        <w:t>contractor returns in the same manner as ESFA.  However, we will still retain original signed sub</w:t>
      </w:r>
      <w:r w:rsidR="2D09458D" w:rsidRPr="00E17110">
        <w:rPr>
          <w:rFonts w:ascii="Verdana" w:hAnsi="Verdana"/>
        </w:rPr>
        <w:t>-</w:t>
      </w:r>
      <w:r w:rsidR="00870C02" w:rsidRPr="00E17110">
        <w:rPr>
          <w:rFonts w:ascii="Verdana" w:hAnsi="Verdana"/>
        </w:rPr>
        <w:t xml:space="preserve">contracts and due diligence records for each sub-contractor used for Welsh </w:t>
      </w:r>
      <w:r w:rsidR="49A21FAD" w:rsidRPr="00E17110">
        <w:rPr>
          <w:rFonts w:ascii="Verdana" w:hAnsi="Verdana"/>
        </w:rPr>
        <w:t>work-based</w:t>
      </w:r>
      <w:r w:rsidR="00870C02" w:rsidRPr="00E17110">
        <w:rPr>
          <w:rFonts w:ascii="Verdana" w:hAnsi="Verdana"/>
        </w:rPr>
        <w:t xml:space="preserve"> learning delivery.</w:t>
      </w:r>
    </w:p>
    <w:p w14:paraId="19219836" w14:textId="77777777" w:rsidR="005C553B" w:rsidRPr="00E17110" w:rsidRDefault="005C553B" w:rsidP="005C553B">
      <w:pPr>
        <w:spacing w:after="0" w:line="240" w:lineRule="auto"/>
        <w:rPr>
          <w:rFonts w:ascii="Verdana" w:hAnsi="Verdana"/>
        </w:rPr>
      </w:pPr>
    </w:p>
    <w:p w14:paraId="165158F5" w14:textId="77777777" w:rsidR="00B0165A" w:rsidRPr="006C2EB1" w:rsidRDefault="005C553B" w:rsidP="006C2EB1">
      <w:pPr>
        <w:pStyle w:val="Heading1"/>
        <w:spacing w:before="0" w:line="240" w:lineRule="auto"/>
        <w:rPr>
          <w:rFonts w:ascii="Verdana" w:hAnsi="Verdana"/>
          <w:color w:val="auto"/>
          <w:sz w:val="28"/>
          <w:szCs w:val="28"/>
        </w:rPr>
      </w:pPr>
      <w:r w:rsidRPr="006C2EB1">
        <w:rPr>
          <w:rFonts w:ascii="Verdana" w:hAnsi="Verdana"/>
          <w:color w:val="auto"/>
          <w:sz w:val="28"/>
          <w:szCs w:val="28"/>
        </w:rPr>
        <w:t>8.</w:t>
      </w:r>
      <w:r w:rsidRPr="006C2EB1">
        <w:rPr>
          <w:rFonts w:ascii="Verdana" w:hAnsi="Verdana"/>
          <w:color w:val="auto"/>
          <w:sz w:val="28"/>
          <w:szCs w:val="28"/>
        </w:rPr>
        <w:tab/>
      </w:r>
      <w:r w:rsidR="00C03491" w:rsidRPr="006C2EB1">
        <w:rPr>
          <w:rFonts w:ascii="Verdana" w:hAnsi="Verdana"/>
          <w:color w:val="auto"/>
          <w:sz w:val="28"/>
          <w:szCs w:val="28"/>
        </w:rPr>
        <w:t xml:space="preserve">Policy review </w:t>
      </w:r>
    </w:p>
    <w:p w14:paraId="296FEF7D" w14:textId="77777777" w:rsidR="005C553B" w:rsidRPr="00E17110" w:rsidRDefault="005C553B" w:rsidP="005C553B">
      <w:pPr>
        <w:spacing w:after="0" w:line="240" w:lineRule="auto"/>
        <w:rPr>
          <w:rFonts w:ascii="Verdana" w:hAnsi="Verdana"/>
        </w:rPr>
      </w:pPr>
    </w:p>
    <w:p w14:paraId="7ED5BDC8" w14:textId="1180637E" w:rsidR="00403340" w:rsidRPr="00E17110" w:rsidRDefault="00057453" w:rsidP="005C553B">
      <w:pPr>
        <w:spacing w:after="0" w:line="240" w:lineRule="auto"/>
        <w:ind w:left="720"/>
        <w:rPr>
          <w:rFonts w:ascii="Verdana" w:hAnsi="Verdana"/>
        </w:rPr>
      </w:pPr>
      <w:r>
        <w:rPr>
          <w:rFonts w:ascii="Verdana" w:hAnsi="Verdana"/>
        </w:rPr>
        <w:t>This P</w:t>
      </w:r>
      <w:r w:rsidR="00C03491" w:rsidRPr="00E17110">
        <w:rPr>
          <w:rFonts w:ascii="Verdana" w:hAnsi="Verdana"/>
        </w:rPr>
        <w:t xml:space="preserve">olicy is updated annually in line with updates from the ESFA </w:t>
      </w:r>
      <w:r w:rsidR="2EB432EE" w:rsidRPr="00E17110">
        <w:rPr>
          <w:rFonts w:ascii="Verdana" w:hAnsi="Verdana"/>
        </w:rPr>
        <w:t xml:space="preserve">&amp; WG </w:t>
      </w:r>
      <w:r w:rsidR="00C03491" w:rsidRPr="00E17110">
        <w:rPr>
          <w:rFonts w:ascii="Verdana" w:hAnsi="Verdana"/>
        </w:rPr>
        <w:t xml:space="preserve">funding guidance and will be reviewed in July </w:t>
      </w:r>
      <w:r w:rsidR="00C03491" w:rsidRPr="00C54265">
        <w:rPr>
          <w:rFonts w:ascii="Verdana" w:hAnsi="Verdana"/>
          <w:color w:val="FF0000"/>
        </w:rPr>
        <w:t>20</w:t>
      </w:r>
      <w:r w:rsidR="002A1225" w:rsidRPr="00C54265">
        <w:rPr>
          <w:rFonts w:ascii="Verdana" w:hAnsi="Verdana"/>
          <w:color w:val="FF0000"/>
        </w:rPr>
        <w:t>2</w:t>
      </w:r>
      <w:r w:rsidR="00C54265" w:rsidRPr="00C54265">
        <w:rPr>
          <w:rFonts w:ascii="Verdana" w:hAnsi="Verdana"/>
          <w:color w:val="FF0000"/>
        </w:rPr>
        <w:t>5</w:t>
      </w:r>
      <w:r w:rsidR="00C03491" w:rsidRPr="00E17110">
        <w:rPr>
          <w:rFonts w:ascii="Verdana" w:hAnsi="Verdana"/>
        </w:rPr>
        <w:t>.</w:t>
      </w:r>
    </w:p>
    <w:p w14:paraId="00EB9D09" w14:textId="7CE90FFC" w:rsidR="00D16951" w:rsidRPr="00E17110" w:rsidRDefault="00D16951" w:rsidP="005C553B">
      <w:pPr>
        <w:spacing w:after="0" w:line="240" w:lineRule="auto"/>
        <w:ind w:left="720"/>
        <w:rPr>
          <w:rFonts w:ascii="Verdana" w:hAnsi="Verdana"/>
        </w:rPr>
      </w:pPr>
    </w:p>
    <w:p w14:paraId="14A73EAB" w14:textId="7369C76C" w:rsidR="00D16951" w:rsidRPr="003B1C6D" w:rsidRDefault="00E22425" w:rsidP="00D16951">
      <w:pPr>
        <w:spacing w:after="0" w:line="240" w:lineRule="auto"/>
        <w:ind w:left="720"/>
        <w:rPr>
          <w:rFonts w:ascii="Verdana" w:hAnsi="Verdana"/>
        </w:rPr>
      </w:pPr>
      <w:r w:rsidRPr="003B1C6D">
        <w:rPr>
          <w:rFonts w:ascii="Verdana" w:hAnsi="Verdana"/>
        </w:rPr>
        <w:t>This P</w:t>
      </w:r>
      <w:r w:rsidR="00D16951" w:rsidRPr="003B1C6D">
        <w:rPr>
          <w:rFonts w:ascii="Verdana" w:hAnsi="Verdana"/>
        </w:rPr>
        <w:t>olicy is ratified</w:t>
      </w:r>
      <w:r w:rsidR="002A1225" w:rsidRPr="003B1C6D">
        <w:rPr>
          <w:rFonts w:ascii="Verdana" w:hAnsi="Verdana"/>
        </w:rPr>
        <w:t xml:space="preserve"> by </w:t>
      </w:r>
      <w:r w:rsidR="00D16951" w:rsidRPr="003B1C6D">
        <w:rPr>
          <w:rFonts w:ascii="Verdana" w:hAnsi="Verdana"/>
        </w:rPr>
        <w:t xml:space="preserve">the </w:t>
      </w:r>
      <w:r w:rsidR="00DE4A04">
        <w:rPr>
          <w:rFonts w:ascii="Verdana" w:hAnsi="Verdana"/>
        </w:rPr>
        <w:t xml:space="preserve">College’s </w:t>
      </w:r>
      <w:r w:rsidR="00D16951" w:rsidRPr="003B1C6D">
        <w:rPr>
          <w:rFonts w:ascii="Verdana" w:hAnsi="Verdana"/>
        </w:rPr>
        <w:t>Corporation Board (Governing Body).</w:t>
      </w:r>
    </w:p>
    <w:p w14:paraId="7194DBDC" w14:textId="77777777" w:rsidR="005C553B" w:rsidRPr="00E17110" w:rsidRDefault="005C553B" w:rsidP="005C553B">
      <w:pPr>
        <w:spacing w:after="0" w:line="240" w:lineRule="auto"/>
        <w:ind w:left="720"/>
        <w:rPr>
          <w:rFonts w:ascii="Verdana" w:hAnsi="Verdana"/>
        </w:rPr>
      </w:pPr>
    </w:p>
    <w:p w14:paraId="4DB85BA9" w14:textId="22C691AC" w:rsidR="005C553B" w:rsidRPr="006C2EB1" w:rsidRDefault="005C553B" w:rsidP="007812EE">
      <w:pPr>
        <w:pStyle w:val="Heading1"/>
        <w:spacing w:before="0" w:line="240" w:lineRule="auto"/>
        <w:rPr>
          <w:rFonts w:ascii="Verdana" w:hAnsi="Verdana"/>
          <w:color w:val="auto"/>
          <w:sz w:val="28"/>
          <w:szCs w:val="28"/>
        </w:rPr>
      </w:pPr>
      <w:r w:rsidRPr="006C2EB1">
        <w:rPr>
          <w:rFonts w:ascii="Verdana" w:hAnsi="Verdana"/>
          <w:color w:val="auto"/>
          <w:sz w:val="28"/>
          <w:szCs w:val="28"/>
        </w:rPr>
        <w:t>9.</w:t>
      </w:r>
      <w:r w:rsidRPr="006C2EB1">
        <w:rPr>
          <w:rFonts w:ascii="Verdana" w:hAnsi="Verdana"/>
          <w:color w:val="auto"/>
          <w:sz w:val="28"/>
          <w:szCs w:val="28"/>
        </w:rPr>
        <w:tab/>
        <w:t xml:space="preserve">Yr Iaith Cymraeg / The Welsh Language </w:t>
      </w:r>
    </w:p>
    <w:p w14:paraId="54CD245A" w14:textId="38581A02" w:rsidR="005C553B" w:rsidRPr="00E17110" w:rsidRDefault="005C553B" w:rsidP="005C553B">
      <w:pPr>
        <w:spacing w:after="0" w:line="240" w:lineRule="auto"/>
        <w:ind w:left="720"/>
        <w:rPr>
          <w:rFonts w:ascii="Verdana" w:hAnsi="Verdana"/>
          <w:b/>
        </w:rPr>
      </w:pPr>
    </w:p>
    <w:p w14:paraId="0F128274" w14:textId="77777777" w:rsidR="00585FEB" w:rsidRPr="00E17110" w:rsidRDefault="00585FEB" w:rsidP="00585FEB">
      <w:pPr>
        <w:spacing w:after="0" w:line="240" w:lineRule="auto"/>
        <w:ind w:left="720"/>
        <w:rPr>
          <w:rFonts w:ascii="Verdana" w:hAnsi="Verdana"/>
        </w:rPr>
      </w:pPr>
      <w:r w:rsidRPr="00E17110">
        <w:rPr>
          <w:rFonts w:ascii="Verdana" w:hAnsi="Verdana"/>
        </w:rPr>
        <w:t xml:space="preserve">Mae Coleg </w:t>
      </w:r>
      <w:proofErr w:type="spellStart"/>
      <w:r w:rsidRPr="00E17110">
        <w:rPr>
          <w:rFonts w:ascii="Verdana" w:hAnsi="Verdana"/>
        </w:rPr>
        <w:t>Gŵyr</w:t>
      </w:r>
      <w:proofErr w:type="spellEnd"/>
      <w:r w:rsidRPr="00E17110">
        <w:rPr>
          <w:rFonts w:ascii="Verdana" w:hAnsi="Verdana"/>
        </w:rPr>
        <w:t xml:space="preserve"> Abertawe </w:t>
      </w:r>
      <w:proofErr w:type="spellStart"/>
      <w:r w:rsidRPr="00E17110">
        <w:rPr>
          <w:rFonts w:ascii="Verdana" w:hAnsi="Verdana"/>
        </w:rPr>
        <w:t>yn</w:t>
      </w:r>
      <w:proofErr w:type="spellEnd"/>
      <w:r w:rsidRPr="00E17110">
        <w:rPr>
          <w:rFonts w:ascii="Verdana" w:hAnsi="Verdana"/>
        </w:rPr>
        <w:t xml:space="preserve"> </w:t>
      </w:r>
      <w:proofErr w:type="spellStart"/>
      <w:r w:rsidRPr="00E17110">
        <w:rPr>
          <w:rFonts w:ascii="Verdana" w:hAnsi="Verdana"/>
        </w:rPr>
        <w:t>ymrwymedig</w:t>
      </w:r>
      <w:proofErr w:type="spellEnd"/>
      <w:r w:rsidRPr="00E17110">
        <w:rPr>
          <w:rFonts w:ascii="Verdana" w:hAnsi="Verdana"/>
        </w:rPr>
        <w:t xml:space="preserve"> </w:t>
      </w:r>
      <w:proofErr w:type="spellStart"/>
      <w:r w:rsidRPr="00E17110">
        <w:rPr>
          <w:rFonts w:ascii="Verdana" w:hAnsi="Verdana"/>
        </w:rPr>
        <w:t>i</w:t>
      </w:r>
      <w:proofErr w:type="spellEnd"/>
      <w:r w:rsidRPr="00E17110">
        <w:rPr>
          <w:rFonts w:ascii="Verdana" w:hAnsi="Verdana"/>
        </w:rPr>
        <w:t xml:space="preserve"> </w:t>
      </w:r>
      <w:proofErr w:type="spellStart"/>
      <w:r w:rsidRPr="00E17110">
        <w:rPr>
          <w:rFonts w:ascii="Verdana" w:hAnsi="Verdana"/>
        </w:rPr>
        <w:t>hyrwyddo’r</w:t>
      </w:r>
      <w:proofErr w:type="spellEnd"/>
      <w:r w:rsidRPr="00E17110">
        <w:rPr>
          <w:rFonts w:ascii="Verdana" w:hAnsi="Verdana"/>
        </w:rPr>
        <w:t xml:space="preserve"> </w:t>
      </w:r>
      <w:proofErr w:type="spellStart"/>
      <w:r w:rsidRPr="00E17110">
        <w:rPr>
          <w:rFonts w:ascii="Verdana" w:hAnsi="Verdana"/>
        </w:rPr>
        <w:t>iaith</w:t>
      </w:r>
      <w:proofErr w:type="spellEnd"/>
      <w:r w:rsidRPr="00E17110">
        <w:rPr>
          <w:rFonts w:ascii="Verdana" w:hAnsi="Verdana"/>
        </w:rPr>
        <w:t xml:space="preserve"> </w:t>
      </w:r>
      <w:proofErr w:type="spellStart"/>
      <w:r w:rsidRPr="00E17110">
        <w:rPr>
          <w:rFonts w:ascii="Verdana" w:hAnsi="Verdana"/>
        </w:rPr>
        <w:t>Gymraeg</w:t>
      </w:r>
      <w:proofErr w:type="spellEnd"/>
      <w:r w:rsidRPr="00E17110">
        <w:rPr>
          <w:rFonts w:ascii="Verdana" w:hAnsi="Verdana"/>
        </w:rPr>
        <w:t xml:space="preserve">, </w:t>
      </w:r>
      <w:proofErr w:type="spellStart"/>
      <w:r w:rsidRPr="00E17110">
        <w:rPr>
          <w:rFonts w:ascii="Verdana" w:hAnsi="Verdana"/>
        </w:rPr>
        <w:t>yn</w:t>
      </w:r>
      <w:proofErr w:type="spellEnd"/>
      <w:r w:rsidRPr="00E17110">
        <w:rPr>
          <w:rFonts w:ascii="Verdana" w:hAnsi="Verdana"/>
        </w:rPr>
        <w:t xml:space="preserve"> </w:t>
      </w:r>
      <w:proofErr w:type="spellStart"/>
      <w:r w:rsidRPr="00E17110">
        <w:rPr>
          <w:rFonts w:ascii="Verdana" w:hAnsi="Verdana"/>
        </w:rPr>
        <w:t>unol</w:t>
      </w:r>
      <w:proofErr w:type="spellEnd"/>
      <w:r w:rsidRPr="00E17110">
        <w:rPr>
          <w:rFonts w:ascii="Verdana" w:hAnsi="Verdana"/>
        </w:rPr>
        <w:t xml:space="preserve"> â </w:t>
      </w:r>
      <w:proofErr w:type="spellStart"/>
      <w:r w:rsidRPr="00E17110">
        <w:rPr>
          <w:rFonts w:ascii="Verdana" w:hAnsi="Verdana"/>
        </w:rPr>
        <w:t>Safonau’r</w:t>
      </w:r>
      <w:proofErr w:type="spellEnd"/>
      <w:r w:rsidRPr="00E17110">
        <w:rPr>
          <w:rFonts w:ascii="Verdana" w:hAnsi="Verdana"/>
        </w:rPr>
        <w:t xml:space="preserve"> </w:t>
      </w:r>
      <w:proofErr w:type="spellStart"/>
      <w:r w:rsidRPr="00E17110">
        <w:rPr>
          <w:rFonts w:ascii="Verdana" w:hAnsi="Verdana"/>
        </w:rPr>
        <w:t>Iaith</w:t>
      </w:r>
      <w:proofErr w:type="spellEnd"/>
      <w:r w:rsidRPr="00E17110">
        <w:rPr>
          <w:rFonts w:ascii="Verdana" w:hAnsi="Verdana"/>
        </w:rPr>
        <w:t xml:space="preserve"> </w:t>
      </w:r>
      <w:proofErr w:type="spellStart"/>
      <w:r w:rsidRPr="00E17110">
        <w:rPr>
          <w:rFonts w:ascii="Verdana" w:hAnsi="Verdana"/>
        </w:rPr>
        <w:t>Gymraeg</w:t>
      </w:r>
      <w:proofErr w:type="spellEnd"/>
      <w:r w:rsidRPr="00E17110">
        <w:rPr>
          <w:rFonts w:ascii="Verdana" w:hAnsi="Verdana"/>
        </w:rPr>
        <w:t xml:space="preserve"> a </w:t>
      </w:r>
      <w:proofErr w:type="spellStart"/>
      <w:r w:rsidRPr="00E17110">
        <w:rPr>
          <w:rFonts w:ascii="Verdana" w:hAnsi="Verdana"/>
        </w:rPr>
        <w:t>Mesur</w:t>
      </w:r>
      <w:proofErr w:type="spellEnd"/>
      <w:r w:rsidRPr="00E17110">
        <w:rPr>
          <w:rFonts w:ascii="Verdana" w:hAnsi="Verdana"/>
        </w:rPr>
        <w:t xml:space="preserve"> y </w:t>
      </w:r>
      <w:proofErr w:type="spellStart"/>
      <w:r w:rsidRPr="00E17110">
        <w:rPr>
          <w:rFonts w:ascii="Verdana" w:hAnsi="Verdana"/>
        </w:rPr>
        <w:t>Gymraeg</w:t>
      </w:r>
      <w:proofErr w:type="spellEnd"/>
      <w:r w:rsidRPr="00E17110">
        <w:rPr>
          <w:rFonts w:ascii="Verdana" w:hAnsi="Verdana"/>
        </w:rPr>
        <w:t xml:space="preserve"> (Cymru) 2011.</w:t>
      </w:r>
    </w:p>
    <w:p w14:paraId="54235F20" w14:textId="77777777" w:rsidR="00585FEB" w:rsidRPr="00E17110" w:rsidRDefault="00585FEB" w:rsidP="00585FEB">
      <w:pPr>
        <w:spacing w:after="0" w:line="240" w:lineRule="auto"/>
        <w:ind w:left="720"/>
        <w:rPr>
          <w:rFonts w:ascii="Verdana" w:hAnsi="Verdana"/>
        </w:rPr>
      </w:pPr>
    </w:p>
    <w:p w14:paraId="6C05374C" w14:textId="5E742D8B" w:rsidR="00585FEB" w:rsidRDefault="00585FEB" w:rsidP="00585FEB">
      <w:pPr>
        <w:spacing w:after="0" w:line="240" w:lineRule="auto"/>
        <w:ind w:left="720"/>
        <w:rPr>
          <w:rFonts w:ascii="Verdana" w:hAnsi="Verdana"/>
        </w:rPr>
      </w:pPr>
      <w:r w:rsidRPr="00E17110">
        <w:rPr>
          <w:rFonts w:ascii="Verdana" w:hAnsi="Verdana"/>
        </w:rPr>
        <w:t>Gower College Swansea is committed to the promotion of the Welsh language, in accordance with the Welsh Language Standards and the Welsh Language (Wales) Measure 2011.</w:t>
      </w:r>
    </w:p>
    <w:p w14:paraId="146466EA" w14:textId="6ACCD7BA" w:rsidR="006C2EB1" w:rsidRDefault="006C2EB1" w:rsidP="00585FEB">
      <w:pPr>
        <w:spacing w:after="0" w:line="240" w:lineRule="auto"/>
        <w:ind w:left="720"/>
        <w:rPr>
          <w:rFonts w:ascii="Verdana" w:hAnsi="Verdana"/>
        </w:rPr>
      </w:pPr>
    </w:p>
    <w:p w14:paraId="4F7CE7AA" w14:textId="05D05095" w:rsidR="006C2EB1" w:rsidRDefault="006C2EB1" w:rsidP="00585FEB">
      <w:pPr>
        <w:spacing w:after="0" w:line="240" w:lineRule="auto"/>
        <w:ind w:left="720"/>
        <w:rPr>
          <w:rFonts w:ascii="Verdana" w:hAnsi="Verdana"/>
        </w:rPr>
      </w:pPr>
    </w:p>
    <w:p w14:paraId="23B02638" w14:textId="71126C69" w:rsidR="006C2EB1" w:rsidRPr="006C2EB1" w:rsidRDefault="006C2EB1" w:rsidP="00585FEB">
      <w:pPr>
        <w:spacing w:after="0" w:line="240" w:lineRule="auto"/>
        <w:ind w:left="720"/>
        <w:rPr>
          <w:rFonts w:ascii="Verdana" w:hAnsi="Verdana"/>
          <w:b/>
        </w:rPr>
      </w:pPr>
      <w:r w:rsidRPr="006C2EB1">
        <w:rPr>
          <w:rFonts w:ascii="Verdana" w:hAnsi="Verdana"/>
          <w:b/>
        </w:rPr>
        <w:t>This policy is also available in Welsh</w:t>
      </w:r>
    </w:p>
    <w:p w14:paraId="26EA7E1E" w14:textId="77777777" w:rsidR="00585FEB" w:rsidRPr="00E17110" w:rsidRDefault="00585FEB" w:rsidP="005C553B">
      <w:pPr>
        <w:spacing w:after="0" w:line="240" w:lineRule="auto"/>
        <w:ind w:left="720"/>
        <w:rPr>
          <w:rFonts w:ascii="Verdana" w:hAnsi="Verdana"/>
          <w:b/>
        </w:rPr>
      </w:pPr>
    </w:p>
    <w:sectPr w:rsidR="00585FEB" w:rsidRPr="00E17110" w:rsidSect="007812EE">
      <w:footerReference w:type="default" r:id="rId12"/>
      <w:pgSz w:w="11906" w:h="16838"/>
      <w:pgMar w:top="1418"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0EFD" w14:textId="77777777" w:rsidR="001A4489" w:rsidRDefault="001A4489" w:rsidP="005C553B">
      <w:pPr>
        <w:spacing w:after="0" w:line="240" w:lineRule="auto"/>
      </w:pPr>
      <w:r>
        <w:separator/>
      </w:r>
    </w:p>
  </w:endnote>
  <w:endnote w:type="continuationSeparator" w:id="0">
    <w:p w14:paraId="65D859AF" w14:textId="77777777" w:rsidR="001A4489" w:rsidRDefault="001A4489" w:rsidP="005C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898622834"/>
      <w:docPartObj>
        <w:docPartGallery w:val="Page Numbers (Bottom of Page)"/>
        <w:docPartUnique/>
      </w:docPartObj>
    </w:sdtPr>
    <w:sdtEndPr/>
    <w:sdtContent>
      <w:sdt>
        <w:sdtPr>
          <w:rPr>
            <w:rFonts w:ascii="Verdana" w:hAnsi="Verdana"/>
          </w:rPr>
          <w:id w:val="860082579"/>
          <w:docPartObj>
            <w:docPartGallery w:val="Page Numbers (Top of Page)"/>
            <w:docPartUnique/>
          </w:docPartObj>
        </w:sdtPr>
        <w:sdtEndPr/>
        <w:sdtContent>
          <w:p w14:paraId="48A21919" w14:textId="77777777" w:rsidR="005C553B" w:rsidRDefault="005C553B">
            <w:pPr>
              <w:pStyle w:val="Footer"/>
              <w:jc w:val="right"/>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8"/>
              <w:gridCol w:w="1379"/>
            </w:tblGrid>
            <w:tr w:rsidR="005C553B" w:rsidRPr="005C553B" w14:paraId="21265663" w14:textId="77777777" w:rsidTr="00B91E7A">
              <w:tc>
                <w:tcPr>
                  <w:tcW w:w="7848" w:type="dxa"/>
                </w:tcPr>
                <w:p w14:paraId="683F933C" w14:textId="05758596" w:rsidR="00585FEB" w:rsidRPr="005C553B" w:rsidRDefault="00585FEB" w:rsidP="00057453">
                  <w:pPr>
                    <w:tabs>
                      <w:tab w:val="center" w:pos="4153"/>
                      <w:tab w:val="right" w:pos="8306"/>
                    </w:tabs>
                    <w:rPr>
                      <w:rFonts w:ascii="Verdana" w:hAnsi="Verdana"/>
                      <w:sz w:val="16"/>
                    </w:rPr>
                  </w:pPr>
                </w:p>
              </w:tc>
              <w:tc>
                <w:tcPr>
                  <w:tcW w:w="1394" w:type="dxa"/>
                </w:tcPr>
                <w:p w14:paraId="12E836B6" w14:textId="2142679F" w:rsidR="005C553B" w:rsidRPr="005C553B" w:rsidRDefault="005C553B" w:rsidP="00C24639">
                  <w:pPr>
                    <w:tabs>
                      <w:tab w:val="center" w:pos="4153"/>
                      <w:tab w:val="right" w:pos="8306"/>
                    </w:tabs>
                    <w:rPr>
                      <w:rFonts w:ascii="Verdana" w:hAnsi="Verdana"/>
                      <w:i/>
                    </w:rPr>
                  </w:pPr>
                </w:p>
              </w:tc>
            </w:tr>
          </w:tbl>
          <w:p w14:paraId="687DB784" w14:textId="3FC96BD9" w:rsidR="005C553B" w:rsidRPr="005C553B" w:rsidRDefault="005C553B">
            <w:pPr>
              <w:pStyle w:val="Footer"/>
              <w:jc w:val="right"/>
              <w:rPr>
                <w:rFonts w:ascii="Verdana" w:hAnsi="Verdana"/>
              </w:rPr>
            </w:pPr>
            <w:r w:rsidRPr="005C553B">
              <w:rPr>
                <w:rFonts w:ascii="Verdana" w:hAnsi="Verdana"/>
              </w:rPr>
              <w:t xml:space="preserve">Page </w:t>
            </w:r>
            <w:r w:rsidRPr="005C553B">
              <w:rPr>
                <w:rFonts w:ascii="Verdana" w:hAnsi="Verdana"/>
                <w:bCs/>
              </w:rPr>
              <w:fldChar w:fldCharType="begin"/>
            </w:r>
            <w:r w:rsidRPr="005C553B">
              <w:rPr>
                <w:rFonts w:ascii="Verdana" w:hAnsi="Verdana"/>
                <w:bCs/>
              </w:rPr>
              <w:instrText xml:space="preserve"> PAGE </w:instrText>
            </w:r>
            <w:r w:rsidRPr="005C553B">
              <w:rPr>
                <w:rFonts w:ascii="Verdana" w:hAnsi="Verdana"/>
                <w:bCs/>
              </w:rPr>
              <w:fldChar w:fldCharType="separate"/>
            </w:r>
            <w:r w:rsidR="003575C6">
              <w:rPr>
                <w:rFonts w:ascii="Verdana" w:hAnsi="Verdana"/>
                <w:bCs/>
                <w:noProof/>
              </w:rPr>
              <w:t>1</w:t>
            </w:r>
            <w:r w:rsidRPr="005C553B">
              <w:rPr>
                <w:rFonts w:ascii="Verdana" w:hAnsi="Verdana"/>
                <w:bCs/>
              </w:rPr>
              <w:fldChar w:fldCharType="end"/>
            </w:r>
            <w:r w:rsidRPr="005C553B">
              <w:rPr>
                <w:rFonts w:ascii="Verdana" w:hAnsi="Verdana"/>
              </w:rPr>
              <w:t xml:space="preserve"> of </w:t>
            </w:r>
            <w:r w:rsidRPr="005C553B">
              <w:rPr>
                <w:rFonts w:ascii="Verdana" w:hAnsi="Verdana"/>
                <w:bCs/>
              </w:rPr>
              <w:fldChar w:fldCharType="begin"/>
            </w:r>
            <w:r w:rsidRPr="005C553B">
              <w:rPr>
                <w:rFonts w:ascii="Verdana" w:hAnsi="Verdana"/>
                <w:bCs/>
              </w:rPr>
              <w:instrText xml:space="preserve"> NUMPAGES  </w:instrText>
            </w:r>
            <w:r w:rsidRPr="005C553B">
              <w:rPr>
                <w:rFonts w:ascii="Verdana" w:hAnsi="Verdana"/>
                <w:bCs/>
              </w:rPr>
              <w:fldChar w:fldCharType="separate"/>
            </w:r>
            <w:r w:rsidR="003575C6">
              <w:rPr>
                <w:rFonts w:ascii="Verdana" w:hAnsi="Verdana"/>
                <w:bCs/>
                <w:noProof/>
              </w:rPr>
              <w:t>4</w:t>
            </w:r>
            <w:r w:rsidRPr="005C553B">
              <w:rPr>
                <w:rFonts w:ascii="Verdana" w:hAnsi="Verdana"/>
                <w:bCs/>
              </w:rPr>
              <w:fldChar w:fldCharType="end"/>
            </w:r>
          </w:p>
        </w:sdtContent>
      </w:sdt>
    </w:sdtContent>
  </w:sdt>
  <w:p w14:paraId="6BD18F9B" w14:textId="77777777" w:rsidR="005C553B" w:rsidRDefault="005C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A680" w14:textId="77777777" w:rsidR="001A4489" w:rsidRDefault="001A4489" w:rsidP="005C553B">
      <w:pPr>
        <w:spacing w:after="0" w:line="240" w:lineRule="auto"/>
      </w:pPr>
      <w:r>
        <w:separator/>
      </w:r>
    </w:p>
  </w:footnote>
  <w:footnote w:type="continuationSeparator" w:id="0">
    <w:p w14:paraId="42297AA5" w14:textId="77777777" w:rsidR="001A4489" w:rsidRDefault="001A4489" w:rsidP="005C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4E"/>
    <w:multiLevelType w:val="hybridMultilevel"/>
    <w:tmpl w:val="37BA524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E11F41"/>
    <w:multiLevelType w:val="hybridMultilevel"/>
    <w:tmpl w:val="F1EA403A"/>
    <w:lvl w:ilvl="0" w:tplc="7456A4AC">
      <w:numFmt w:val="bullet"/>
      <w:lvlText w:val="-"/>
      <w:lvlJc w:val="left"/>
      <w:pPr>
        <w:ind w:left="1494" w:hanging="360"/>
      </w:pPr>
      <w:rPr>
        <w:rFonts w:ascii="Verdana" w:eastAsia="Times New Roman" w:hAnsi="Verdana"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303518B6"/>
    <w:multiLevelType w:val="hybridMultilevel"/>
    <w:tmpl w:val="CABACDF4"/>
    <w:lvl w:ilvl="0" w:tplc="405C6DEE">
      <w:start w:val="5"/>
      <w:numFmt w:val="bullet"/>
      <w:lvlText w:val="•"/>
      <w:lvlJc w:val="left"/>
      <w:pPr>
        <w:ind w:left="927" w:hanging="360"/>
      </w:pPr>
      <w:rPr>
        <w:rFonts w:ascii="Calibri" w:eastAsiaTheme="minorHAnsi" w:hAnsi="Calibri"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74BC1D9B"/>
    <w:multiLevelType w:val="hybridMultilevel"/>
    <w:tmpl w:val="F1226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6543C7D"/>
    <w:multiLevelType w:val="hybridMultilevel"/>
    <w:tmpl w:val="986623AA"/>
    <w:lvl w:ilvl="0" w:tplc="8676C6FA">
      <w:start w:val="1"/>
      <w:numFmt w:val="bullet"/>
      <w:lvlText w:val=""/>
      <w:lvlJc w:val="left"/>
      <w:pPr>
        <w:ind w:left="720" w:hanging="360"/>
      </w:pPr>
      <w:rPr>
        <w:rFonts w:ascii="Symbol" w:hAnsi="Symbol" w:hint="default"/>
      </w:rPr>
    </w:lvl>
    <w:lvl w:ilvl="1" w:tplc="EAD6CF44">
      <w:start w:val="1"/>
      <w:numFmt w:val="bullet"/>
      <w:lvlText w:val="o"/>
      <w:lvlJc w:val="left"/>
      <w:pPr>
        <w:ind w:left="1440" w:hanging="360"/>
      </w:pPr>
      <w:rPr>
        <w:rFonts w:ascii="Courier New" w:hAnsi="Courier New" w:hint="default"/>
      </w:rPr>
    </w:lvl>
    <w:lvl w:ilvl="2" w:tplc="059EC8D6">
      <w:start w:val="1"/>
      <w:numFmt w:val="bullet"/>
      <w:lvlText w:val=""/>
      <w:lvlJc w:val="left"/>
      <w:pPr>
        <w:ind w:left="2160" w:hanging="360"/>
      </w:pPr>
      <w:rPr>
        <w:rFonts w:ascii="Wingdings" w:hAnsi="Wingdings" w:hint="default"/>
      </w:rPr>
    </w:lvl>
    <w:lvl w:ilvl="3" w:tplc="366C20D2">
      <w:start w:val="1"/>
      <w:numFmt w:val="bullet"/>
      <w:lvlText w:val=""/>
      <w:lvlJc w:val="left"/>
      <w:pPr>
        <w:ind w:left="2880" w:hanging="360"/>
      </w:pPr>
      <w:rPr>
        <w:rFonts w:ascii="Symbol" w:hAnsi="Symbol" w:hint="default"/>
      </w:rPr>
    </w:lvl>
    <w:lvl w:ilvl="4" w:tplc="801408E4">
      <w:start w:val="1"/>
      <w:numFmt w:val="bullet"/>
      <w:lvlText w:val="o"/>
      <w:lvlJc w:val="left"/>
      <w:pPr>
        <w:ind w:left="3600" w:hanging="360"/>
      </w:pPr>
      <w:rPr>
        <w:rFonts w:ascii="Courier New" w:hAnsi="Courier New" w:hint="default"/>
      </w:rPr>
    </w:lvl>
    <w:lvl w:ilvl="5" w:tplc="717C3E88">
      <w:start w:val="1"/>
      <w:numFmt w:val="bullet"/>
      <w:lvlText w:val=""/>
      <w:lvlJc w:val="left"/>
      <w:pPr>
        <w:ind w:left="4320" w:hanging="360"/>
      </w:pPr>
      <w:rPr>
        <w:rFonts w:ascii="Wingdings" w:hAnsi="Wingdings" w:hint="default"/>
      </w:rPr>
    </w:lvl>
    <w:lvl w:ilvl="6" w:tplc="472A7342">
      <w:start w:val="1"/>
      <w:numFmt w:val="bullet"/>
      <w:lvlText w:val=""/>
      <w:lvlJc w:val="left"/>
      <w:pPr>
        <w:ind w:left="5040" w:hanging="360"/>
      </w:pPr>
      <w:rPr>
        <w:rFonts w:ascii="Symbol" w:hAnsi="Symbol" w:hint="default"/>
      </w:rPr>
    </w:lvl>
    <w:lvl w:ilvl="7" w:tplc="49161D88">
      <w:start w:val="1"/>
      <w:numFmt w:val="bullet"/>
      <w:lvlText w:val="o"/>
      <w:lvlJc w:val="left"/>
      <w:pPr>
        <w:ind w:left="5760" w:hanging="360"/>
      </w:pPr>
      <w:rPr>
        <w:rFonts w:ascii="Courier New" w:hAnsi="Courier New" w:hint="default"/>
      </w:rPr>
    </w:lvl>
    <w:lvl w:ilvl="8" w:tplc="38184EFE">
      <w:start w:val="1"/>
      <w:numFmt w:val="bullet"/>
      <w:lvlText w:val=""/>
      <w:lvlJc w:val="left"/>
      <w:pPr>
        <w:ind w:left="6480" w:hanging="360"/>
      </w:pPr>
      <w:rPr>
        <w:rFonts w:ascii="Wingdings" w:hAnsi="Wingdings" w:hint="default"/>
      </w:rPr>
    </w:lvl>
  </w:abstractNum>
  <w:abstractNum w:abstractNumId="5" w15:restartNumberingAfterBreak="0">
    <w:nsid w:val="76A01899"/>
    <w:multiLevelType w:val="hybridMultilevel"/>
    <w:tmpl w:val="985455DE"/>
    <w:lvl w:ilvl="0" w:tplc="B3BA88A4">
      <w:start w:val="1"/>
      <w:numFmt w:val="bullet"/>
      <w:lvlText w:val=""/>
      <w:lvlJc w:val="left"/>
      <w:pPr>
        <w:ind w:left="720" w:hanging="360"/>
      </w:pPr>
      <w:rPr>
        <w:rFonts w:ascii="Symbol" w:hAnsi="Symbol" w:hint="default"/>
      </w:rPr>
    </w:lvl>
    <w:lvl w:ilvl="1" w:tplc="7E748504">
      <w:start w:val="1"/>
      <w:numFmt w:val="bullet"/>
      <w:lvlText w:val="o"/>
      <w:lvlJc w:val="left"/>
      <w:pPr>
        <w:ind w:left="1440" w:hanging="360"/>
      </w:pPr>
      <w:rPr>
        <w:rFonts w:ascii="Courier New" w:hAnsi="Courier New" w:hint="default"/>
      </w:rPr>
    </w:lvl>
    <w:lvl w:ilvl="2" w:tplc="8AC63C50">
      <w:start w:val="1"/>
      <w:numFmt w:val="bullet"/>
      <w:lvlText w:val=""/>
      <w:lvlJc w:val="left"/>
      <w:pPr>
        <w:ind w:left="2160" w:hanging="360"/>
      </w:pPr>
      <w:rPr>
        <w:rFonts w:ascii="Wingdings" w:hAnsi="Wingdings" w:hint="default"/>
      </w:rPr>
    </w:lvl>
    <w:lvl w:ilvl="3" w:tplc="22CA2B1C">
      <w:start w:val="1"/>
      <w:numFmt w:val="bullet"/>
      <w:lvlText w:val=""/>
      <w:lvlJc w:val="left"/>
      <w:pPr>
        <w:ind w:left="2880" w:hanging="360"/>
      </w:pPr>
      <w:rPr>
        <w:rFonts w:ascii="Symbol" w:hAnsi="Symbol" w:hint="default"/>
      </w:rPr>
    </w:lvl>
    <w:lvl w:ilvl="4" w:tplc="38FC882E">
      <w:start w:val="1"/>
      <w:numFmt w:val="bullet"/>
      <w:lvlText w:val="o"/>
      <w:lvlJc w:val="left"/>
      <w:pPr>
        <w:ind w:left="3600" w:hanging="360"/>
      </w:pPr>
      <w:rPr>
        <w:rFonts w:ascii="Courier New" w:hAnsi="Courier New" w:hint="default"/>
      </w:rPr>
    </w:lvl>
    <w:lvl w:ilvl="5" w:tplc="D9564248">
      <w:start w:val="1"/>
      <w:numFmt w:val="bullet"/>
      <w:lvlText w:val=""/>
      <w:lvlJc w:val="left"/>
      <w:pPr>
        <w:ind w:left="4320" w:hanging="360"/>
      </w:pPr>
      <w:rPr>
        <w:rFonts w:ascii="Wingdings" w:hAnsi="Wingdings" w:hint="default"/>
      </w:rPr>
    </w:lvl>
    <w:lvl w:ilvl="6" w:tplc="134EFA06">
      <w:start w:val="1"/>
      <w:numFmt w:val="bullet"/>
      <w:lvlText w:val=""/>
      <w:lvlJc w:val="left"/>
      <w:pPr>
        <w:ind w:left="5040" w:hanging="360"/>
      </w:pPr>
      <w:rPr>
        <w:rFonts w:ascii="Symbol" w:hAnsi="Symbol" w:hint="default"/>
      </w:rPr>
    </w:lvl>
    <w:lvl w:ilvl="7" w:tplc="66A2C66A">
      <w:start w:val="1"/>
      <w:numFmt w:val="bullet"/>
      <w:lvlText w:val="o"/>
      <w:lvlJc w:val="left"/>
      <w:pPr>
        <w:ind w:left="5760" w:hanging="360"/>
      </w:pPr>
      <w:rPr>
        <w:rFonts w:ascii="Courier New" w:hAnsi="Courier New" w:hint="default"/>
      </w:rPr>
    </w:lvl>
    <w:lvl w:ilvl="8" w:tplc="7EDE95B0">
      <w:start w:val="1"/>
      <w:numFmt w:val="bullet"/>
      <w:lvlText w:val=""/>
      <w:lvlJc w:val="left"/>
      <w:pPr>
        <w:ind w:left="6480" w:hanging="360"/>
      </w:pPr>
      <w:rPr>
        <w:rFonts w:ascii="Wingdings" w:hAnsi="Wingdings" w:hint="default"/>
      </w:rPr>
    </w:lvl>
  </w:abstractNum>
  <w:abstractNum w:abstractNumId="6" w15:restartNumberingAfterBreak="0">
    <w:nsid w:val="78B05895"/>
    <w:multiLevelType w:val="hybridMultilevel"/>
    <w:tmpl w:val="11AE94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1340D9"/>
    <w:multiLevelType w:val="hybridMultilevel"/>
    <w:tmpl w:val="EDC42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4WakESGDTgY0OYoZ4gAl4s9HJlvRduh3oem0UVgredkwvGWGGvkEIkxV+/CG9DCyihQzSqLskoRnlM6mv47pMg==" w:salt="hZFeLqCfNlG6SyDvE8Fa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1"/>
    <w:rsid w:val="0003510F"/>
    <w:rsid w:val="00057453"/>
    <w:rsid w:val="000B4FA3"/>
    <w:rsid w:val="000C0F90"/>
    <w:rsid w:val="000D7B0C"/>
    <w:rsid w:val="001010B0"/>
    <w:rsid w:val="0010531E"/>
    <w:rsid w:val="00136E3C"/>
    <w:rsid w:val="0014045D"/>
    <w:rsid w:val="001A4489"/>
    <w:rsid w:val="001D7A2B"/>
    <w:rsid w:val="002A1225"/>
    <w:rsid w:val="002B4D8C"/>
    <w:rsid w:val="002D7725"/>
    <w:rsid w:val="00316673"/>
    <w:rsid w:val="003575C6"/>
    <w:rsid w:val="003B1C6D"/>
    <w:rsid w:val="003E799A"/>
    <w:rsid w:val="00403340"/>
    <w:rsid w:val="00416F53"/>
    <w:rsid w:val="004C527F"/>
    <w:rsid w:val="0050515B"/>
    <w:rsid w:val="0055743F"/>
    <w:rsid w:val="00585FEB"/>
    <w:rsid w:val="005B1418"/>
    <w:rsid w:val="005B1CED"/>
    <w:rsid w:val="005C553B"/>
    <w:rsid w:val="005E7AA7"/>
    <w:rsid w:val="00640291"/>
    <w:rsid w:val="006C2EB1"/>
    <w:rsid w:val="006D0BF7"/>
    <w:rsid w:val="006E61CE"/>
    <w:rsid w:val="0071417C"/>
    <w:rsid w:val="00730ABF"/>
    <w:rsid w:val="0075584B"/>
    <w:rsid w:val="007812EE"/>
    <w:rsid w:val="007836AD"/>
    <w:rsid w:val="007F2BF0"/>
    <w:rsid w:val="008236EC"/>
    <w:rsid w:val="00862301"/>
    <w:rsid w:val="00870C02"/>
    <w:rsid w:val="008B3559"/>
    <w:rsid w:val="008C1C0C"/>
    <w:rsid w:val="008E46DD"/>
    <w:rsid w:val="008F79E7"/>
    <w:rsid w:val="009938E3"/>
    <w:rsid w:val="00A03B0A"/>
    <w:rsid w:val="00A47DE2"/>
    <w:rsid w:val="00A63AF9"/>
    <w:rsid w:val="00AD2EB9"/>
    <w:rsid w:val="00AF3A2D"/>
    <w:rsid w:val="00B0165A"/>
    <w:rsid w:val="00B37E8C"/>
    <w:rsid w:val="00B94BA2"/>
    <w:rsid w:val="00B96117"/>
    <w:rsid w:val="00BC0F45"/>
    <w:rsid w:val="00BF47B1"/>
    <w:rsid w:val="00C03491"/>
    <w:rsid w:val="00C24639"/>
    <w:rsid w:val="00C35E29"/>
    <w:rsid w:val="00C54265"/>
    <w:rsid w:val="00C91AD8"/>
    <w:rsid w:val="00CB22CD"/>
    <w:rsid w:val="00CC51A8"/>
    <w:rsid w:val="00D01A45"/>
    <w:rsid w:val="00D16951"/>
    <w:rsid w:val="00D2082C"/>
    <w:rsid w:val="00D55D02"/>
    <w:rsid w:val="00DC06B0"/>
    <w:rsid w:val="00DD03C5"/>
    <w:rsid w:val="00DD594B"/>
    <w:rsid w:val="00DE4A04"/>
    <w:rsid w:val="00E17110"/>
    <w:rsid w:val="00E22425"/>
    <w:rsid w:val="00E2499E"/>
    <w:rsid w:val="00E268AD"/>
    <w:rsid w:val="00E511A2"/>
    <w:rsid w:val="00EE03BE"/>
    <w:rsid w:val="00F41DDD"/>
    <w:rsid w:val="00F46941"/>
    <w:rsid w:val="00F729AB"/>
    <w:rsid w:val="00F81356"/>
    <w:rsid w:val="00F86CA9"/>
    <w:rsid w:val="06989330"/>
    <w:rsid w:val="089FB526"/>
    <w:rsid w:val="094D0FCA"/>
    <w:rsid w:val="09EE22CE"/>
    <w:rsid w:val="0B395C10"/>
    <w:rsid w:val="0EF3901C"/>
    <w:rsid w:val="10D445E7"/>
    <w:rsid w:val="1B16BDDE"/>
    <w:rsid w:val="22DE5C70"/>
    <w:rsid w:val="2959ACCE"/>
    <w:rsid w:val="2995AAAA"/>
    <w:rsid w:val="2AF2844F"/>
    <w:rsid w:val="2D09458D"/>
    <w:rsid w:val="2EB432EE"/>
    <w:rsid w:val="32FF1727"/>
    <w:rsid w:val="354170FC"/>
    <w:rsid w:val="3607077D"/>
    <w:rsid w:val="3A670F96"/>
    <w:rsid w:val="3D8799FC"/>
    <w:rsid w:val="3E7655F2"/>
    <w:rsid w:val="4663E0D1"/>
    <w:rsid w:val="46AF8D8B"/>
    <w:rsid w:val="49A21FAD"/>
    <w:rsid w:val="4C89A588"/>
    <w:rsid w:val="55EEC7D0"/>
    <w:rsid w:val="576E5F57"/>
    <w:rsid w:val="59351495"/>
    <w:rsid w:val="662996FD"/>
    <w:rsid w:val="6A06568D"/>
    <w:rsid w:val="6A8B7ABD"/>
    <w:rsid w:val="6A917B8F"/>
    <w:rsid w:val="725EAE6D"/>
    <w:rsid w:val="76C3D890"/>
    <w:rsid w:val="799E7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318C"/>
  <w15:docId w15:val="{56908279-46EE-47C9-B21F-F7B83DE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E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91"/>
    <w:rPr>
      <w:rFonts w:ascii="Tahoma" w:hAnsi="Tahoma" w:cs="Tahoma"/>
      <w:sz w:val="16"/>
      <w:szCs w:val="16"/>
    </w:rPr>
  </w:style>
  <w:style w:type="paragraph" w:styleId="ListParagraph">
    <w:name w:val="List Paragraph"/>
    <w:basedOn w:val="Normal"/>
    <w:uiPriority w:val="34"/>
    <w:qFormat/>
    <w:rsid w:val="00C03491"/>
    <w:pPr>
      <w:ind w:left="720"/>
      <w:contextualSpacing/>
    </w:pPr>
  </w:style>
  <w:style w:type="character" w:styleId="Hyperlink">
    <w:name w:val="Hyperlink"/>
    <w:basedOn w:val="DefaultParagraphFont"/>
    <w:uiPriority w:val="99"/>
    <w:unhideWhenUsed/>
    <w:rsid w:val="00B0165A"/>
    <w:rPr>
      <w:color w:val="0000FF" w:themeColor="hyperlink"/>
      <w:u w:val="single"/>
    </w:rPr>
  </w:style>
  <w:style w:type="paragraph" w:styleId="Header">
    <w:name w:val="header"/>
    <w:basedOn w:val="Normal"/>
    <w:link w:val="HeaderChar"/>
    <w:uiPriority w:val="99"/>
    <w:unhideWhenUsed/>
    <w:rsid w:val="005C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3B"/>
  </w:style>
  <w:style w:type="paragraph" w:styleId="Footer">
    <w:name w:val="footer"/>
    <w:basedOn w:val="Normal"/>
    <w:link w:val="FooterChar"/>
    <w:uiPriority w:val="99"/>
    <w:unhideWhenUsed/>
    <w:rsid w:val="005C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3B"/>
  </w:style>
  <w:style w:type="table" w:styleId="TableGrid">
    <w:name w:val="Table Grid"/>
    <w:basedOn w:val="TableNormal"/>
    <w:rsid w:val="005C55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2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E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2E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s.ac.uk/policies-and-procedure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280590FCCAA4FA893648AF5F74F81" ma:contentTypeVersion="5" ma:contentTypeDescription="Create a new document." ma:contentTypeScope="" ma:versionID="94598db11bf3a5a7d10ac4264ab2016a">
  <xsd:schema xmlns:xsd="http://www.w3.org/2001/XMLSchema" xmlns:xs="http://www.w3.org/2001/XMLSchema" xmlns:p="http://schemas.microsoft.com/office/2006/metadata/properties" xmlns:ns2="c6ac1946-14af-42f6-b0b6-137d47cd13f8" targetNamespace="http://schemas.microsoft.com/office/2006/metadata/properties" ma:root="true" ma:fieldsID="7e6434f1f4c2cbacdfafefb021062281" ns2:_="">
    <xsd:import namespace="c6ac1946-14af-42f6-b0b6-137d47cd1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c1946-14af-42f6-b0b6-137d47cd1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319D8-2812-420A-9320-39E472B22840}">
  <ds:schemaRefs>
    <ds:schemaRef ds:uri="http://schemas.microsoft.com/sharepoint/v3/contenttype/forms"/>
  </ds:schemaRefs>
</ds:datastoreItem>
</file>

<file path=customXml/itemProps2.xml><?xml version="1.0" encoding="utf-8"?>
<ds:datastoreItem xmlns:ds="http://schemas.openxmlformats.org/officeDocument/2006/customXml" ds:itemID="{FBF23249-74DB-491C-8478-35F5B6060F1A}">
  <ds:schemaRefs>
    <ds:schemaRef ds:uri="c6ac1946-14af-42f6-b0b6-137d47cd13f8"/>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987500CD-4149-4278-8E39-E60081EB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c1946-14af-42f6-b0b6-137d47cd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1053</Words>
  <Characters>5932</Characters>
  <Application>Microsoft Office Word</Application>
  <DocSecurity>8</DocSecurity>
  <Lines>179</Lines>
  <Paragraphs>75</Paragraphs>
  <ScaleCrop>false</ScaleCrop>
  <HeadingPairs>
    <vt:vector size="2" baseType="variant">
      <vt:variant>
        <vt:lpstr>Title</vt:lpstr>
      </vt:variant>
      <vt:variant>
        <vt:i4>1</vt:i4>
      </vt:variant>
    </vt:vector>
  </HeadingPairs>
  <TitlesOfParts>
    <vt:vector size="1" baseType="lpstr">
      <vt:lpstr/>
    </vt:vector>
  </TitlesOfParts>
  <Company>Gower College Swansea</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STONENEW</dc:creator>
  <cp:lastModifiedBy>Beverley Hunt</cp:lastModifiedBy>
  <cp:revision>8</cp:revision>
  <cp:lastPrinted>2024-06-18T11:30:00Z</cp:lastPrinted>
  <dcterms:created xsi:type="dcterms:W3CDTF">2024-06-11T14:02:00Z</dcterms:created>
  <dcterms:modified xsi:type="dcterms:W3CDTF">2024-08-08T12:42:00Z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0x010100801280590FCCAA4FA893648AF5F74F81</vt:lpwstr>
  </property>
</Properties>
</file>